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7F1B4" w14:textId="61B53233" w:rsidR="0020013C" w:rsidRDefault="0020013C" w:rsidP="0020013C"/>
    <w:p w14:paraId="7F53AB0F" w14:textId="77777777" w:rsidR="000F0C86" w:rsidRPr="00646AC7" w:rsidRDefault="000F0C86" w:rsidP="0020013C"/>
    <w:tbl>
      <w:tblPr>
        <w:tblStyle w:val="Tablaconcuadrcula"/>
        <w:tblW w:w="19132" w:type="dxa"/>
        <w:jc w:val="center"/>
        <w:tblLayout w:type="fixed"/>
        <w:tblLook w:val="04A0" w:firstRow="1" w:lastRow="0" w:firstColumn="1" w:lastColumn="0" w:noHBand="0" w:noVBand="1"/>
      </w:tblPr>
      <w:tblGrid>
        <w:gridCol w:w="6378"/>
        <w:gridCol w:w="6377"/>
        <w:gridCol w:w="6377"/>
      </w:tblGrid>
      <w:tr w:rsidR="00477CF4" w:rsidRPr="00536FF3" w14:paraId="00E7E19A" w14:textId="180E7D73" w:rsidTr="00367A46">
        <w:trPr>
          <w:trHeight w:val="1304"/>
          <w:jc w:val="center"/>
        </w:trPr>
        <w:tc>
          <w:tcPr>
            <w:tcW w:w="18711" w:type="dxa"/>
            <w:gridSpan w:val="3"/>
            <w:shd w:val="clear" w:color="auto" w:fill="1F4E79" w:themeFill="accent1" w:themeFillShade="80"/>
            <w:vAlign w:val="center"/>
          </w:tcPr>
          <w:p w14:paraId="2F710C15" w14:textId="72C348DC" w:rsidR="00477CF4" w:rsidRDefault="00477CF4" w:rsidP="00477CF4">
            <w:pPr>
              <w:spacing w:line="276" w:lineRule="auto"/>
              <w:jc w:val="center"/>
              <w:rPr>
                <w:rFonts w:cstheme="minorHAnsi"/>
                <w:b/>
                <w:color w:val="FFFFFF" w:themeColor="background1"/>
                <w:sz w:val="28"/>
                <w:szCs w:val="28"/>
              </w:rPr>
            </w:pPr>
            <w:r w:rsidRPr="0031395D">
              <w:rPr>
                <w:rFonts w:cstheme="minorHAnsi"/>
                <w:b/>
                <w:color w:val="FFFFFF" w:themeColor="background1"/>
                <w:sz w:val="28"/>
                <w:szCs w:val="28"/>
              </w:rPr>
              <w:t>PROPUESTA DE MODIFICACIÓN A LA ORDENANZA GENERAL DE URBANISMO Y CONSTRUCCIONES</w:t>
            </w:r>
            <w:r>
              <w:rPr>
                <w:rFonts w:cstheme="minorHAnsi"/>
                <w:b/>
                <w:color w:val="FFFFFF" w:themeColor="background1"/>
                <w:sz w:val="28"/>
                <w:szCs w:val="28"/>
              </w:rPr>
              <w:t xml:space="preserve"> (OGUC)</w:t>
            </w:r>
          </w:p>
          <w:p w14:paraId="067468D6" w14:textId="49E4D29C" w:rsidR="00477CF4" w:rsidRDefault="00292C20" w:rsidP="00292C20">
            <w:pPr>
              <w:spacing w:line="276" w:lineRule="auto"/>
              <w:jc w:val="center"/>
              <w:rPr>
                <w:rFonts w:cstheme="minorHAnsi"/>
                <w:b/>
                <w:color w:val="FFFFFF" w:themeColor="background1"/>
                <w:sz w:val="28"/>
                <w:szCs w:val="28"/>
              </w:rPr>
            </w:pPr>
            <w:r>
              <w:rPr>
                <w:rFonts w:cstheme="minorHAnsi"/>
                <w:b/>
                <w:color w:val="FFFFFF" w:themeColor="background1"/>
                <w:sz w:val="28"/>
                <w:szCs w:val="28"/>
              </w:rPr>
              <w:t>EN EL SENTIDO DE ESTABLECER ESTÁNDARES MÍNIMOS Y CARGA DE OCUPACIÓN MÁXIMA PARA LOS INMUEBLES QUE SE ARRIENDEN POR PIEZA O HABITACIÓN</w:t>
            </w:r>
          </w:p>
          <w:p w14:paraId="7EEF5986" w14:textId="55760893" w:rsidR="00292C20" w:rsidRPr="00292C20" w:rsidRDefault="00292C20" w:rsidP="00292C20">
            <w:pPr>
              <w:spacing w:line="276" w:lineRule="auto"/>
              <w:jc w:val="center"/>
              <w:rPr>
                <w:rFonts w:cstheme="minorHAnsi"/>
                <w:color w:val="FFFFFF" w:themeColor="background1"/>
                <w:sz w:val="24"/>
                <w:szCs w:val="24"/>
              </w:rPr>
            </w:pPr>
            <w:r w:rsidRPr="00292C20">
              <w:rPr>
                <w:rFonts w:cstheme="minorHAnsi"/>
                <w:color w:val="FFFFFF" w:themeColor="background1"/>
                <w:sz w:val="24"/>
                <w:szCs w:val="24"/>
              </w:rPr>
              <w:t>(LEY 21.325 DE MIGRACIÓN Y EXTRANJERÍA QUE MODIFICÓ LA LEY 18.101 SOBRE ARRENDAMIENTO DE PREDIOS URBANOS)</w:t>
            </w:r>
          </w:p>
        </w:tc>
      </w:tr>
      <w:tr w:rsidR="000F0C86" w:rsidRPr="00536FF3" w14:paraId="4BFDD0AB" w14:textId="3F4A6516" w:rsidTr="00367A46">
        <w:trPr>
          <w:trHeight w:val="666"/>
          <w:jc w:val="center"/>
        </w:trPr>
        <w:tc>
          <w:tcPr>
            <w:tcW w:w="18711" w:type="dxa"/>
            <w:shd w:val="clear" w:color="auto" w:fill="BDD6EE" w:themeFill="accent1" w:themeFillTint="66"/>
            <w:vAlign w:val="center"/>
          </w:tcPr>
          <w:p w14:paraId="4A79E9D7" w14:textId="48ABC1EA" w:rsidR="00477CF4" w:rsidRPr="00D3509B" w:rsidRDefault="00477CF4" w:rsidP="00477CF4">
            <w:pPr>
              <w:tabs>
                <w:tab w:val="left" w:pos="30"/>
              </w:tabs>
              <w:jc w:val="center"/>
              <w:rPr>
                <w:rFonts w:cstheme="minorHAnsi"/>
                <w:b/>
                <w:sz w:val="24"/>
                <w:szCs w:val="24"/>
              </w:rPr>
            </w:pPr>
            <w:r w:rsidRPr="00D3509B">
              <w:rPr>
                <w:rFonts w:cstheme="minorHAnsi"/>
                <w:b/>
                <w:sz w:val="24"/>
                <w:szCs w:val="24"/>
              </w:rPr>
              <w:t>TEXTO NORMA VIGENTE</w:t>
            </w:r>
          </w:p>
        </w:tc>
        <w:tc>
          <w:tcPr>
            <w:tcW w:w="18711" w:type="dxa"/>
            <w:shd w:val="clear" w:color="auto" w:fill="BDD6EE" w:themeFill="accent1" w:themeFillTint="66"/>
            <w:vAlign w:val="center"/>
          </w:tcPr>
          <w:p w14:paraId="420CABEE" w14:textId="721D7D88" w:rsidR="00477CF4" w:rsidRPr="00D3509B" w:rsidRDefault="00477CF4" w:rsidP="00477CF4">
            <w:pPr>
              <w:tabs>
                <w:tab w:val="left" w:pos="30"/>
              </w:tabs>
              <w:jc w:val="center"/>
              <w:rPr>
                <w:rFonts w:cstheme="minorHAnsi"/>
                <w:b/>
                <w:sz w:val="24"/>
                <w:szCs w:val="24"/>
              </w:rPr>
            </w:pPr>
            <w:r w:rsidRPr="00D3509B">
              <w:rPr>
                <w:rFonts w:cstheme="minorHAnsi"/>
                <w:b/>
                <w:sz w:val="24"/>
                <w:szCs w:val="24"/>
              </w:rPr>
              <w:t>TEXTO PROPUEST</w:t>
            </w:r>
            <w:r>
              <w:rPr>
                <w:rFonts w:cstheme="minorHAnsi"/>
                <w:b/>
                <w:sz w:val="24"/>
                <w:szCs w:val="24"/>
              </w:rPr>
              <w:t>O</w:t>
            </w:r>
          </w:p>
        </w:tc>
        <w:tc>
          <w:tcPr>
            <w:tcW w:w="18711" w:type="dxa"/>
            <w:shd w:val="clear" w:color="auto" w:fill="BDD6EE" w:themeFill="accent1" w:themeFillTint="66"/>
            <w:vAlign w:val="center"/>
          </w:tcPr>
          <w:p w14:paraId="2414DD21" w14:textId="7FC28828" w:rsidR="00477CF4" w:rsidRPr="00D3509B" w:rsidRDefault="00477CF4" w:rsidP="00477CF4">
            <w:pPr>
              <w:tabs>
                <w:tab w:val="left" w:pos="30"/>
              </w:tabs>
              <w:jc w:val="center"/>
              <w:rPr>
                <w:rFonts w:cstheme="minorHAnsi"/>
                <w:b/>
                <w:sz w:val="24"/>
                <w:szCs w:val="24"/>
              </w:rPr>
            </w:pPr>
            <w:r>
              <w:rPr>
                <w:rFonts w:cstheme="minorHAnsi"/>
                <w:b/>
                <w:sz w:val="24"/>
                <w:szCs w:val="24"/>
              </w:rPr>
              <w:t>COMENTARIOS / CONTRIBUCIONES</w:t>
            </w:r>
          </w:p>
        </w:tc>
      </w:tr>
      <w:tr w:rsidR="00477CF4" w:rsidRPr="00536FF3" w14:paraId="5ABF942D" w14:textId="4F73F030" w:rsidTr="00367A46">
        <w:trPr>
          <w:trHeight w:val="567"/>
          <w:jc w:val="center"/>
        </w:trPr>
        <w:tc>
          <w:tcPr>
            <w:tcW w:w="18711" w:type="dxa"/>
            <w:gridSpan w:val="3"/>
            <w:vAlign w:val="center"/>
          </w:tcPr>
          <w:p w14:paraId="2DD239EE" w14:textId="3759B093" w:rsidR="00477CF4" w:rsidRPr="00F05340" w:rsidRDefault="00477CF4" w:rsidP="00ED1156">
            <w:pPr>
              <w:rPr>
                <w:rFonts w:cstheme="minorHAnsi"/>
                <w:b/>
                <w:color w:val="000000"/>
              </w:rPr>
            </w:pPr>
            <w:r w:rsidRPr="0090228A">
              <w:rPr>
                <w:rFonts w:cstheme="minorHAnsi"/>
                <w:b/>
                <w:color w:val="000000"/>
                <w:sz w:val="24"/>
                <w:szCs w:val="24"/>
              </w:rPr>
              <w:t>ARTÍCULO 1.</w:t>
            </w:r>
            <w:r w:rsidR="00ED1156" w:rsidRPr="0090228A">
              <w:rPr>
                <w:rFonts w:cstheme="minorHAnsi"/>
                <w:b/>
                <w:color w:val="000000"/>
                <w:sz w:val="24"/>
                <w:szCs w:val="24"/>
              </w:rPr>
              <w:t>3.1.</w:t>
            </w:r>
            <w:r w:rsidR="00F272B6">
              <w:rPr>
                <w:rFonts w:cstheme="minorHAnsi"/>
                <w:b/>
                <w:color w:val="000000"/>
              </w:rPr>
              <w:t xml:space="preserve"> (SE AGREGA TEXTO A CONTINUACIÓN)</w:t>
            </w:r>
          </w:p>
        </w:tc>
      </w:tr>
      <w:tr w:rsidR="000F0C86" w:rsidRPr="00536FF3" w14:paraId="502E698E" w14:textId="750526CA" w:rsidTr="00367A46">
        <w:trPr>
          <w:trHeight w:val="290"/>
          <w:jc w:val="center"/>
        </w:trPr>
        <w:tc>
          <w:tcPr>
            <w:tcW w:w="18711" w:type="dxa"/>
          </w:tcPr>
          <w:p w14:paraId="258ECC13" w14:textId="77777777" w:rsidR="00ED1156" w:rsidRDefault="00ED1156" w:rsidP="00ED1156">
            <w:pPr>
              <w:ind w:left="164" w:right="127"/>
              <w:rPr>
                <w:rFonts w:cstheme="minorHAnsi"/>
                <w:sz w:val="20"/>
                <w:szCs w:val="20"/>
              </w:rPr>
            </w:pPr>
          </w:p>
          <w:p w14:paraId="10E64561" w14:textId="77777777" w:rsidR="00ED1156" w:rsidRDefault="00ED1156" w:rsidP="00367A46">
            <w:pPr>
              <w:spacing w:line="276" w:lineRule="auto"/>
              <w:ind w:left="74" w:right="173" w:firstLine="1934"/>
              <w:jc w:val="both"/>
            </w:pPr>
            <w:r w:rsidRPr="00ED1156">
              <w:rPr>
                <w:rFonts w:cstheme="minorHAnsi"/>
                <w:sz w:val="20"/>
                <w:szCs w:val="20"/>
              </w:rPr>
              <w:t>Las infracciones a las normas contenidas en la presente Ordenanza, quedarán sujetas a las disposiciones y multas previstas en el Capítulo IV del Título I, de la Ley General de Urbanismo y Construcciones.</w:t>
            </w:r>
            <w:r>
              <w:t xml:space="preserve"> </w:t>
            </w:r>
          </w:p>
          <w:p w14:paraId="059D6CA2" w14:textId="41E88940" w:rsidR="00B84FBD" w:rsidRPr="00FE55A5" w:rsidRDefault="00B84FBD" w:rsidP="00F272B6">
            <w:pPr>
              <w:spacing w:line="276" w:lineRule="auto"/>
              <w:ind w:left="74" w:right="173"/>
              <w:jc w:val="both"/>
              <w:rPr>
                <w:rFonts w:cstheme="minorHAnsi"/>
                <w:sz w:val="20"/>
                <w:szCs w:val="20"/>
              </w:rPr>
            </w:pPr>
          </w:p>
        </w:tc>
        <w:tc>
          <w:tcPr>
            <w:tcW w:w="18711" w:type="dxa"/>
          </w:tcPr>
          <w:p w14:paraId="5B2359D0" w14:textId="7C2212C5" w:rsidR="00ED1156" w:rsidRDefault="00ED1156" w:rsidP="00ED1156">
            <w:pPr>
              <w:ind w:left="74" w:right="173"/>
              <w:jc w:val="both"/>
              <w:rPr>
                <w:rFonts w:cstheme="minorHAnsi"/>
                <w:spacing w:val="-3"/>
                <w:sz w:val="20"/>
                <w:szCs w:val="20"/>
              </w:rPr>
            </w:pPr>
          </w:p>
          <w:p w14:paraId="5060D030" w14:textId="11F23600" w:rsidR="00B84FBD" w:rsidRPr="00B84FBD" w:rsidRDefault="00ED1156" w:rsidP="00367A46">
            <w:pPr>
              <w:spacing w:line="276" w:lineRule="auto"/>
              <w:ind w:left="74" w:right="173" w:firstLine="1802"/>
              <w:jc w:val="both"/>
              <w:rPr>
                <w:rFonts w:ascii="Verdana" w:eastAsia="Times New Roman" w:hAnsi="Verdana" w:cs="Arial"/>
                <w:color w:val="2F5496" w:themeColor="accent5" w:themeShade="BF"/>
                <w:sz w:val="20"/>
                <w:szCs w:val="20"/>
                <w:lang w:eastAsia="es-ES"/>
              </w:rPr>
            </w:pPr>
            <w:r w:rsidRPr="00ED1156">
              <w:rPr>
                <w:rFonts w:cstheme="minorHAnsi"/>
                <w:sz w:val="20"/>
                <w:szCs w:val="20"/>
              </w:rPr>
              <w:t>Las infracciones a las normas contenidas en la presente Ordenanza, quedarán sujetas a las disposiciones y multas previstas en el Capítulo IV del Título I, de la Ley Genera</w:t>
            </w:r>
            <w:r>
              <w:rPr>
                <w:rFonts w:cstheme="minorHAnsi"/>
                <w:sz w:val="20"/>
                <w:szCs w:val="20"/>
              </w:rPr>
              <w:t xml:space="preserve">l de Urbanismo y Construcciones, </w:t>
            </w:r>
            <w:r w:rsidRPr="00F272B6">
              <w:rPr>
                <w:rFonts w:cstheme="minorHAnsi"/>
                <w:color w:val="2F5496" w:themeColor="accent5" w:themeShade="BF"/>
                <w:sz w:val="20"/>
                <w:szCs w:val="20"/>
              </w:rPr>
              <w:t xml:space="preserve">sin perjuicio </w:t>
            </w:r>
            <w:r w:rsidR="00B84FBD" w:rsidRPr="00B84FBD">
              <w:rPr>
                <w:rFonts w:cstheme="minorHAnsi"/>
                <w:color w:val="2F5496" w:themeColor="accent5" w:themeShade="BF"/>
                <w:sz w:val="20"/>
                <w:szCs w:val="20"/>
              </w:rPr>
              <w:t>de las disposiciones especiales contenidas en el Título V “Del arriendo y subarriendo abusivo, y del hacinamiento” de la Ley N° 18.101, que Fija Normas Especiales sobre Arrendamiento de Predios Urbanos, de conformidad a lo establecido en el Capítulo 15, del Título 4 de esta Ordenanza.</w:t>
            </w:r>
          </w:p>
          <w:p w14:paraId="035D3F53" w14:textId="01B11663" w:rsidR="00ED1156" w:rsidRDefault="00ED1156" w:rsidP="00ED1156">
            <w:pPr>
              <w:ind w:left="74" w:right="173"/>
              <w:jc w:val="both"/>
              <w:rPr>
                <w:rFonts w:cstheme="minorHAnsi"/>
                <w:spacing w:val="-3"/>
                <w:sz w:val="20"/>
                <w:szCs w:val="20"/>
              </w:rPr>
            </w:pPr>
          </w:p>
        </w:tc>
        <w:tc>
          <w:tcPr>
            <w:tcW w:w="18711" w:type="dxa"/>
          </w:tcPr>
          <w:p w14:paraId="61AE1096" w14:textId="77777777" w:rsidR="00ED1156" w:rsidRDefault="00ED1156" w:rsidP="00ED1156">
            <w:pPr>
              <w:ind w:left="74" w:right="173"/>
              <w:jc w:val="both"/>
              <w:rPr>
                <w:rFonts w:cstheme="minorHAnsi"/>
                <w:spacing w:val="-3"/>
                <w:sz w:val="20"/>
                <w:szCs w:val="20"/>
              </w:rPr>
            </w:pPr>
          </w:p>
        </w:tc>
      </w:tr>
      <w:tr w:rsidR="00ED1156" w:rsidRPr="00536FF3" w14:paraId="2BBFDC45" w14:textId="1B0D75C4" w:rsidTr="00367A46">
        <w:trPr>
          <w:trHeight w:val="567"/>
          <w:jc w:val="center"/>
        </w:trPr>
        <w:tc>
          <w:tcPr>
            <w:tcW w:w="18711" w:type="dxa"/>
            <w:gridSpan w:val="3"/>
            <w:vAlign w:val="center"/>
          </w:tcPr>
          <w:p w14:paraId="6E6BAF06" w14:textId="25918C81" w:rsidR="00ED1156" w:rsidRDefault="00ED1156" w:rsidP="0090228A">
            <w:pPr>
              <w:ind w:left="74" w:right="173"/>
              <w:rPr>
                <w:rFonts w:cstheme="minorHAnsi"/>
                <w:b/>
                <w:color w:val="000000"/>
              </w:rPr>
            </w:pPr>
            <w:r w:rsidRPr="0090228A">
              <w:rPr>
                <w:rFonts w:cstheme="minorHAnsi"/>
                <w:b/>
                <w:color w:val="000000"/>
                <w:sz w:val="24"/>
                <w:szCs w:val="24"/>
              </w:rPr>
              <w:t>ARTÍCULO 2.1.22.</w:t>
            </w:r>
            <w:r w:rsidRPr="00F05340">
              <w:rPr>
                <w:rFonts w:cstheme="minorHAnsi"/>
                <w:b/>
                <w:color w:val="000000"/>
              </w:rPr>
              <w:t xml:space="preserve"> </w:t>
            </w:r>
            <w:r w:rsidR="0090228A">
              <w:rPr>
                <w:rFonts w:cstheme="minorHAnsi"/>
                <w:b/>
                <w:color w:val="000000"/>
              </w:rPr>
              <w:t xml:space="preserve"> (SE MODIFICA INCISO PRIMERO, SE REMPLAZA </w:t>
            </w:r>
            <w:r>
              <w:rPr>
                <w:rFonts w:cstheme="minorHAnsi"/>
                <w:b/>
                <w:color w:val="000000"/>
              </w:rPr>
              <w:t>INCISO SEGUNDO</w:t>
            </w:r>
            <w:r w:rsidR="0090228A">
              <w:rPr>
                <w:rFonts w:cstheme="minorHAnsi"/>
                <w:b/>
                <w:color w:val="000000"/>
              </w:rPr>
              <w:t xml:space="preserve"> Y SE INCORPORA NUEVO INCISO TERCERO)</w:t>
            </w:r>
          </w:p>
        </w:tc>
      </w:tr>
      <w:tr w:rsidR="000F0C86" w:rsidRPr="00536FF3" w14:paraId="1E9B5583" w14:textId="77777777" w:rsidTr="00367A46">
        <w:trPr>
          <w:trHeight w:val="290"/>
          <w:jc w:val="center"/>
        </w:trPr>
        <w:tc>
          <w:tcPr>
            <w:tcW w:w="18711" w:type="dxa"/>
          </w:tcPr>
          <w:p w14:paraId="131706A3" w14:textId="77777777" w:rsidR="0090228A" w:rsidRDefault="0090228A" w:rsidP="0090228A">
            <w:pPr>
              <w:spacing w:line="276" w:lineRule="auto"/>
              <w:ind w:left="164" w:right="172"/>
              <w:jc w:val="both"/>
              <w:rPr>
                <w:sz w:val="20"/>
                <w:szCs w:val="20"/>
              </w:rPr>
            </w:pPr>
          </w:p>
          <w:p w14:paraId="31C7FC6C" w14:textId="54B1AA77" w:rsidR="0090228A" w:rsidRDefault="0090228A" w:rsidP="00367A46">
            <w:pPr>
              <w:spacing w:line="276" w:lineRule="auto"/>
              <w:ind w:left="74" w:right="173" w:firstLine="1934"/>
              <w:jc w:val="both"/>
              <w:rPr>
                <w:sz w:val="20"/>
                <w:szCs w:val="20"/>
              </w:rPr>
            </w:pPr>
            <w:r w:rsidRPr="0090228A">
              <w:rPr>
                <w:sz w:val="20"/>
                <w:szCs w:val="20"/>
              </w:rPr>
              <w:t>Los Instrumentos de Planificación Territorial que fijen densidad, deberán expresarla en densidad bruta en habitantes por hectárea y se entenderá que su equivalencia o conversión en número de viviendas será igual al valor que resulte de dividir la densidad establecida por el coeficiente 4.</w:t>
            </w:r>
          </w:p>
          <w:p w14:paraId="1FF9D8A5" w14:textId="77777777" w:rsidR="0090228A" w:rsidRPr="00235086" w:rsidRDefault="0090228A" w:rsidP="00ED1156">
            <w:pPr>
              <w:ind w:left="164" w:right="172"/>
              <w:jc w:val="both"/>
              <w:rPr>
                <w:rFonts w:cstheme="minorHAnsi"/>
                <w:b/>
                <w:sz w:val="20"/>
                <w:szCs w:val="20"/>
              </w:rPr>
            </w:pPr>
          </w:p>
        </w:tc>
        <w:tc>
          <w:tcPr>
            <w:tcW w:w="18711" w:type="dxa"/>
          </w:tcPr>
          <w:p w14:paraId="7C4C75AC" w14:textId="701B258E" w:rsidR="0090228A" w:rsidRDefault="0090228A" w:rsidP="00ED1156">
            <w:pPr>
              <w:ind w:left="164" w:right="172"/>
              <w:jc w:val="both"/>
              <w:rPr>
                <w:sz w:val="20"/>
                <w:szCs w:val="20"/>
              </w:rPr>
            </w:pPr>
          </w:p>
          <w:p w14:paraId="72515B56" w14:textId="31F3D0A5" w:rsidR="0090228A" w:rsidRPr="0090228A" w:rsidRDefault="0090228A" w:rsidP="00367A46">
            <w:pPr>
              <w:spacing w:line="276" w:lineRule="auto"/>
              <w:ind w:left="164" w:right="172" w:firstLine="1712"/>
              <w:jc w:val="both"/>
              <w:rPr>
                <w:sz w:val="20"/>
                <w:szCs w:val="20"/>
              </w:rPr>
            </w:pPr>
            <w:r w:rsidRPr="0090228A">
              <w:rPr>
                <w:sz w:val="20"/>
                <w:szCs w:val="20"/>
              </w:rPr>
              <w:t xml:space="preserve">Los Instrumentos de Planificación Territorial que fijen densidad, deberán expresarla en densidad bruta en habitantes por hectárea y se entenderá que su equivalencia o conversión en número de </w:t>
            </w:r>
            <w:r w:rsidRPr="0090228A">
              <w:rPr>
                <w:color w:val="2F5496" w:themeColor="accent5" w:themeShade="BF"/>
                <w:sz w:val="20"/>
                <w:szCs w:val="20"/>
              </w:rPr>
              <w:t>unidades</w:t>
            </w:r>
            <w:r>
              <w:rPr>
                <w:color w:val="2F5496" w:themeColor="accent5" w:themeShade="BF"/>
                <w:sz w:val="20"/>
                <w:szCs w:val="20"/>
              </w:rPr>
              <w:t xml:space="preserve"> </w:t>
            </w:r>
            <w:r w:rsidRPr="0090228A">
              <w:rPr>
                <w:color w:val="2F5496" w:themeColor="accent5" w:themeShade="BF"/>
                <w:sz w:val="20"/>
                <w:szCs w:val="20"/>
              </w:rPr>
              <w:t>resultantes del proyecto</w:t>
            </w:r>
            <w:r w:rsidRPr="0090228A">
              <w:rPr>
                <w:sz w:val="20"/>
                <w:szCs w:val="20"/>
              </w:rPr>
              <w:t xml:space="preserve"> será igual al valor que resulte de dividir la densidad establecida por el coeficiente 4.</w:t>
            </w:r>
          </w:p>
          <w:p w14:paraId="4EF90483" w14:textId="6F3FC3EE" w:rsidR="0090228A" w:rsidRPr="00F272B6" w:rsidRDefault="0090228A" w:rsidP="00ED1156">
            <w:pPr>
              <w:ind w:left="164" w:right="172"/>
              <w:jc w:val="both"/>
              <w:rPr>
                <w:sz w:val="20"/>
                <w:szCs w:val="20"/>
              </w:rPr>
            </w:pPr>
          </w:p>
        </w:tc>
        <w:tc>
          <w:tcPr>
            <w:tcW w:w="18711" w:type="dxa"/>
          </w:tcPr>
          <w:p w14:paraId="422EF5DF" w14:textId="77777777" w:rsidR="0090228A" w:rsidRPr="00235086" w:rsidRDefault="0090228A" w:rsidP="00ED1156">
            <w:pPr>
              <w:ind w:left="164" w:right="172"/>
              <w:jc w:val="both"/>
              <w:rPr>
                <w:rFonts w:cstheme="minorHAnsi"/>
                <w:b/>
                <w:sz w:val="20"/>
                <w:szCs w:val="20"/>
              </w:rPr>
            </w:pPr>
          </w:p>
        </w:tc>
      </w:tr>
      <w:tr w:rsidR="000F0C86" w:rsidRPr="00536FF3" w14:paraId="2AD3DAD4" w14:textId="34267CAE" w:rsidTr="00367A46">
        <w:trPr>
          <w:trHeight w:val="290"/>
          <w:jc w:val="center"/>
        </w:trPr>
        <w:tc>
          <w:tcPr>
            <w:tcW w:w="18711" w:type="dxa"/>
          </w:tcPr>
          <w:p w14:paraId="651E1C1F" w14:textId="77777777" w:rsidR="00ED1156" w:rsidRPr="00235086" w:rsidRDefault="00ED1156" w:rsidP="00ED1156">
            <w:pPr>
              <w:ind w:left="164" w:right="172"/>
              <w:jc w:val="both"/>
              <w:rPr>
                <w:rFonts w:cstheme="minorHAnsi"/>
                <w:b/>
                <w:sz w:val="20"/>
                <w:szCs w:val="20"/>
              </w:rPr>
            </w:pPr>
          </w:p>
          <w:p w14:paraId="0AC97656" w14:textId="2AF6083C" w:rsidR="00ED1156" w:rsidRDefault="00ED1156" w:rsidP="00367A46">
            <w:pPr>
              <w:spacing w:line="276" w:lineRule="auto"/>
              <w:ind w:left="74" w:right="173" w:firstLine="1934"/>
              <w:jc w:val="both"/>
              <w:rPr>
                <w:sz w:val="20"/>
                <w:szCs w:val="20"/>
              </w:rPr>
            </w:pPr>
            <w:r w:rsidRPr="00ED1156">
              <w:rPr>
                <w:sz w:val="20"/>
                <w:szCs w:val="20"/>
              </w:rPr>
              <w:t>El parámetro de densidad establecido en los instrumentos de planificación territorial sólo se aplicará al destino de vivienda del tipo de uso de suelo residencial.</w:t>
            </w:r>
          </w:p>
          <w:p w14:paraId="0089C8C8" w14:textId="43DEA33C" w:rsidR="00ED1156" w:rsidRPr="00235086" w:rsidRDefault="00ED1156" w:rsidP="00ED1156">
            <w:pPr>
              <w:ind w:left="164" w:right="172"/>
              <w:jc w:val="both"/>
              <w:rPr>
                <w:rFonts w:cstheme="minorHAnsi"/>
                <w:b/>
                <w:sz w:val="20"/>
                <w:szCs w:val="20"/>
              </w:rPr>
            </w:pPr>
          </w:p>
        </w:tc>
        <w:tc>
          <w:tcPr>
            <w:tcW w:w="18711" w:type="dxa"/>
          </w:tcPr>
          <w:p w14:paraId="6CC32319" w14:textId="77777777" w:rsidR="00ED1156" w:rsidRPr="00F272B6" w:rsidRDefault="00ED1156" w:rsidP="00ED1156">
            <w:pPr>
              <w:ind w:left="164" w:right="172"/>
              <w:jc w:val="both"/>
              <w:rPr>
                <w:sz w:val="20"/>
                <w:szCs w:val="20"/>
              </w:rPr>
            </w:pPr>
          </w:p>
          <w:p w14:paraId="1B4ED795" w14:textId="44AEA8DF" w:rsidR="00B84FBD" w:rsidRPr="00B15DDD" w:rsidRDefault="00B84FBD" w:rsidP="00367A46">
            <w:pPr>
              <w:spacing w:line="276" w:lineRule="auto"/>
              <w:ind w:left="74" w:right="173" w:firstLine="1802"/>
              <w:jc w:val="both"/>
              <w:rPr>
                <w:color w:val="2F5496" w:themeColor="accent5" w:themeShade="BF"/>
                <w:sz w:val="20"/>
                <w:szCs w:val="20"/>
              </w:rPr>
            </w:pPr>
            <w:r w:rsidRPr="00B15DDD">
              <w:rPr>
                <w:color w:val="2F5496" w:themeColor="accent5" w:themeShade="BF"/>
                <w:sz w:val="20"/>
                <w:szCs w:val="20"/>
              </w:rPr>
              <w:t xml:space="preserve">La norma urbanística densidad se aplicará a los proyectos con uso de suelo residencial, cuyos destinos sean vivienda y hospedaje, cuando la actividad corresponda a apart-hotel, y a </w:t>
            </w:r>
            <w:r w:rsidR="00F3542D">
              <w:rPr>
                <w:color w:val="2F5496" w:themeColor="accent5" w:themeShade="BF"/>
                <w:sz w:val="20"/>
                <w:szCs w:val="20"/>
              </w:rPr>
              <w:t>aquellos</w:t>
            </w:r>
            <w:r w:rsidRPr="00B15DDD">
              <w:rPr>
                <w:color w:val="2F5496" w:themeColor="accent5" w:themeShade="BF"/>
                <w:sz w:val="20"/>
                <w:szCs w:val="20"/>
              </w:rPr>
              <w:t xml:space="preserve"> proyectos a que se refiere el Capítulo 15 del Título 4 de esta Ordenanza. </w:t>
            </w:r>
          </w:p>
          <w:p w14:paraId="40E84CB7" w14:textId="3F69F4B6" w:rsidR="0090228A" w:rsidRPr="00F272B6" w:rsidRDefault="0090228A" w:rsidP="0090228A">
            <w:pPr>
              <w:spacing w:line="276" w:lineRule="auto"/>
              <w:ind w:left="74" w:right="173"/>
              <w:jc w:val="both"/>
              <w:rPr>
                <w:sz w:val="20"/>
                <w:szCs w:val="20"/>
              </w:rPr>
            </w:pPr>
          </w:p>
        </w:tc>
        <w:tc>
          <w:tcPr>
            <w:tcW w:w="18711" w:type="dxa"/>
          </w:tcPr>
          <w:p w14:paraId="4389F0A8" w14:textId="77777777" w:rsidR="00ED1156" w:rsidRPr="00235086" w:rsidRDefault="00ED1156" w:rsidP="00ED1156">
            <w:pPr>
              <w:ind w:left="164" w:right="172"/>
              <w:jc w:val="both"/>
              <w:rPr>
                <w:rFonts w:cstheme="minorHAnsi"/>
                <w:b/>
                <w:sz w:val="20"/>
                <w:szCs w:val="20"/>
              </w:rPr>
            </w:pPr>
          </w:p>
        </w:tc>
      </w:tr>
      <w:tr w:rsidR="000F0C86" w:rsidRPr="00536FF3" w14:paraId="3B810C3E" w14:textId="77777777" w:rsidTr="00367A46">
        <w:trPr>
          <w:trHeight w:val="290"/>
          <w:jc w:val="center"/>
        </w:trPr>
        <w:tc>
          <w:tcPr>
            <w:tcW w:w="18711" w:type="dxa"/>
            <w:vAlign w:val="center"/>
          </w:tcPr>
          <w:p w14:paraId="1EEB57FF" w14:textId="6914E0CD" w:rsidR="0090228A" w:rsidRPr="00235086" w:rsidRDefault="00F221C6" w:rsidP="00F221C6">
            <w:pPr>
              <w:ind w:left="164" w:right="172"/>
              <w:jc w:val="center"/>
              <w:rPr>
                <w:rFonts w:cstheme="minorHAnsi"/>
                <w:b/>
                <w:sz w:val="20"/>
                <w:szCs w:val="20"/>
              </w:rPr>
            </w:pPr>
            <w:r>
              <w:rPr>
                <w:rFonts w:cstheme="minorHAnsi"/>
                <w:b/>
                <w:sz w:val="20"/>
                <w:szCs w:val="20"/>
              </w:rPr>
              <w:t>-</w:t>
            </w:r>
          </w:p>
        </w:tc>
        <w:tc>
          <w:tcPr>
            <w:tcW w:w="18711" w:type="dxa"/>
          </w:tcPr>
          <w:p w14:paraId="250D405A" w14:textId="77777777" w:rsidR="0090228A" w:rsidRDefault="0090228A" w:rsidP="00ED1156">
            <w:pPr>
              <w:ind w:left="164" w:right="172"/>
              <w:jc w:val="both"/>
              <w:rPr>
                <w:sz w:val="20"/>
                <w:szCs w:val="20"/>
              </w:rPr>
            </w:pPr>
          </w:p>
          <w:p w14:paraId="74E228EB" w14:textId="3181B655" w:rsidR="00B84FBD" w:rsidRPr="00B15DDD" w:rsidRDefault="00B84FBD" w:rsidP="00367A46">
            <w:pPr>
              <w:spacing w:line="276" w:lineRule="auto"/>
              <w:ind w:left="74" w:right="173" w:firstLine="1802"/>
              <w:jc w:val="both"/>
              <w:rPr>
                <w:color w:val="2F5496" w:themeColor="accent5" w:themeShade="BF"/>
                <w:sz w:val="20"/>
                <w:szCs w:val="20"/>
              </w:rPr>
            </w:pPr>
            <w:r w:rsidRPr="00B15DDD">
              <w:rPr>
                <w:color w:val="2F5496" w:themeColor="accent5" w:themeShade="BF"/>
                <w:sz w:val="20"/>
                <w:szCs w:val="20"/>
              </w:rPr>
              <w:t xml:space="preserve">La norma urbanística densidad no será aplicable en proyectos de edificación destinados a una vivienda unifamiliar </w:t>
            </w:r>
            <w:r w:rsidR="00515356">
              <w:rPr>
                <w:color w:val="2F5496" w:themeColor="accent5" w:themeShade="BF"/>
                <w:sz w:val="20"/>
                <w:szCs w:val="20"/>
              </w:rPr>
              <w:t>cuando ésta</w:t>
            </w:r>
            <w:r w:rsidRPr="00B15DDD">
              <w:rPr>
                <w:color w:val="2F5496" w:themeColor="accent5" w:themeShade="BF"/>
                <w:sz w:val="20"/>
                <w:szCs w:val="20"/>
              </w:rPr>
              <w:t xml:space="preserve"> se construya en un predio previamente urbanizado.</w:t>
            </w:r>
          </w:p>
          <w:p w14:paraId="459B8B8E" w14:textId="7804A35B" w:rsidR="0090228A" w:rsidRPr="00F272B6" w:rsidRDefault="0090228A" w:rsidP="00ED1156">
            <w:pPr>
              <w:ind w:left="164" w:right="172"/>
              <w:jc w:val="both"/>
              <w:rPr>
                <w:sz w:val="20"/>
                <w:szCs w:val="20"/>
              </w:rPr>
            </w:pPr>
          </w:p>
        </w:tc>
        <w:tc>
          <w:tcPr>
            <w:tcW w:w="18711" w:type="dxa"/>
          </w:tcPr>
          <w:p w14:paraId="7B45B015" w14:textId="77777777" w:rsidR="0090228A" w:rsidRPr="00235086" w:rsidRDefault="0090228A" w:rsidP="00ED1156">
            <w:pPr>
              <w:ind w:left="164" w:right="172"/>
              <w:jc w:val="both"/>
              <w:rPr>
                <w:rFonts w:cstheme="minorHAnsi"/>
                <w:b/>
                <w:sz w:val="20"/>
                <w:szCs w:val="20"/>
              </w:rPr>
            </w:pPr>
          </w:p>
        </w:tc>
      </w:tr>
      <w:tr w:rsidR="00F272B6" w:rsidRPr="00536FF3" w14:paraId="778712B4" w14:textId="1DE247E2" w:rsidTr="00367A46">
        <w:trPr>
          <w:trHeight w:val="567"/>
          <w:jc w:val="center"/>
        </w:trPr>
        <w:tc>
          <w:tcPr>
            <w:tcW w:w="18711" w:type="dxa"/>
            <w:gridSpan w:val="3"/>
            <w:vAlign w:val="center"/>
          </w:tcPr>
          <w:p w14:paraId="0CEC5D54" w14:textId="2E2D9994" w:rsidR="00F272B6" w:rsidRPr="00F05340" w:rsidRDefault="00F272B6" w:rsidP="00F272B6">
            <w:pPr>
              <w:ind w:left="74" w:right="173"/>
              <w:jc w:val="both"/>
              <w:rPr>
                <w:rFonts w:cstheme="minorHAnsi"/>
                <w:b/>
                <w:color w:val="000000"/>
              </w:rPr>
            </w:pPr>
            <w:r>
              <w:rPr>
                <w:rFonts w:cstheme="minorHAnsi"/>
                <w:b/>
                <w:color w:val="000000"/>
              </w:rPr>
              <w:t>ARTÍCULO 2.1.25.</w:t>
            </w:r>
            <w:r w:rsidRPr="00F05340">
              <w:rPr>
                <w:rFonts w:cstheme="minorHAnsi"/>
                <w:b/>
                <w:color w:val="000000"/>
              </w:rPr>
              <w:t xml:space="preserve"> </w:t>
            </w:r>
            <w:r>
              <w:rPr>
                <w:rFonts w:cstheme="minorHAnsi"/>
                <w:b/>
                <w:color w:val="000000"/>
              </w:rPr>
              <w:t>– INCISO PRIMERO (SE AGREGA TEXTO A CONTINUACIÓN)</w:t>
            </w:r>
          </w:p>
        </w:tc>
      </w:tr>
      <w:tr w:rsidR="000F0C86" w:rsidRPr="00536FF3" w14:paraId="6AEC56AF" w14:textId="62C52A24" w:rsidTr="00367A46">
        <w:trPr>
          <w:trHeight w:val="3250"/>
          <w:jc w:val="center"/>
        </w:trPr>
        <w:tc>
          <w:tcPr>
            <w:tcW w:w="18711" w:type="dxa"/>
          </w:tcPr>
          <w:p w14:paraId="7089E36C" w14:textId="77777777" w:rsidR="00ED1156" w:rsidRPr="00D61583" w:rsidRDefault="00ED1156" w:rsidP="00367A46">
            <w:pPr>
              <w:spacing w:line="276" w:lineRule="auto"/>
              <w:ind w:left="164"/>
              <w:jc w:val="both"/>
              <w:rPr>
                <w:rFonts w:cstheme="minorHAnsi"/>
                <w:sz w:val="20"/>
                <w:szCs w:val="20"/>
              </w:rPr>
            </w:pPr>
          </w:p>
          <w:p w14:paraId="50CD62D5" w14:textId="5EBE1AF8" w:rsidR="00F272B6" w:rsidRPr="00D61583" w:rsidRDefault="00F272B6" w:rsidP="00367A46">
            <w:pPr>
              <w:spacing w:line="276" w:lineRule="auto"/>
              <w:ind w:left="164" w:right="130" w:firstLine="1844"/>
              <w:jc w:val="both"/>
              <w:rPr>
                <w:rFonts w:cstheme="minorHAnsi"/>
                <w:sz w:val="20"/>
                <w:szCs w:val="20"/>
              </w:rPr>
            </w:pPr>
            <w:r w:rsidRPr="00F272B6">
              <w:rPr>
                <w:rFonts w:cstheme="minorHAnsi"/>
                <w:sz w:val="20"/>
                <w:szCs w:val="20"/>
              </w:rPr>
              <w:t>El tipo de uso Residencial contempla preferentemente el destino vivienda, e incluye hogares de acogida, así como edificaciones y locales destinados al hospedaje, sea éste remunerado o gratuito, siempre que no presten servicios comerciales adjuntos, tales como bares, restaurantes o discotecas, en cuyo caso requerirán que en el lugar donde se emplazan esté admitido algún uso comercial.</w:t>
            </w:r>
          </w:p>
          <w:p w14:paraId="6CF37983" w14:textId="672F403D" w:rsidR="00ED1156" w:rsidRDefault="00ED1156" w:rsidP="00367A46">
            <w:pPr>
              <w:spacing w:line="276" w:lineRule="auto"/>
              <w:ind w:left="164"/>
              <w:jc w:val="both"/>
              <w:rPr>
                <w:rFonts w:cstheme="minorHAnsi"/>
                <w:b/>
                <w:sz w:val="20"/>
                <w:szCs w:val="20"/>
              </w:rPr>
            </w:pPr>
          </w:p>
        </w:tc>
        <w:tc>
          <w:tcPr>
            <w:tcW w:w="18711" w:type="dxa"/>
          </w:tcPr>
          <w:p w14:paraId="2F9F362B" w14:textId="77777777" w:rsidR="00ED1156" w:rsidRDefault="00ED1156" w:rsidP="00367A46">
            <w:pPr>
              <w:spacing w:line="276" w:lineRule="auto"/>
              <w:ind w:left="164" w:right="130"/>
              <w:jc w:val="both"/>
              <w:rPr>
                <w:rFonts w:cstheme="minorHAnsi"/>
                <w:sz w:val="20"/>
                <w:szCs w:val="20"/>
              </w:rPr>
            </w:pPr>
          </w:p>
          <w:p w14:paraId="5389899B" w14:textId="047EE15B" w:rsidR="00B15DDD" w:rsidRPr="00B15DDD" w:rsidRDefault="00F272B6" w:rsidP="00D76BF5">
            <w:pPr>
              <w:spacing w:line="276" w:lineRule="auto"/>
              <w:ind w:left="164" w:right="130" w:firstLine="1712"/>
              <w:jc w:val="both"/>
              <w:rPr>
                <w:rFonts w:cstheme="minorHAnsi"/>
                <w:color w:val="2F5496" w:themeColor="accent5" w:themeShade="BF"/>
                <w:sz w:val="20"/>
                <w:szCs w:val="20"/>
              </w:rPr>
            </w:pPr>
            <w:r w:rsidRPr="00F272B6">
              <w:rPr>
                <w:rFonts w:cstheme="minorHAnsi"/>
                <w:sz w:val="20"/>
                <w:szCs w:val="20"/>
              </w:rPr>
              <w:t>El tipo de uso Residencial contempla preferentemente el destino vivienda, e incluye hogares de acogida, así como edificaciones y locales destinados al hospedaje, sea éste remunerado o gratuito, siempre que no presten servicios comerciales adjuntos, tales como bares, restaurantes o discotecas, en cuyo caso requerirán que en el lugar donde se emplazan esté admitido algún uso comercial.</w:t>
            </w:r>
            <w:r>
              <w:rPr>
                <w:rFonts w:cstheme="minorHAnsi"/>
                <w:sz w:val="20"/>
                <w:szCs w:val="20"/>
              </w:rPr>
              <w:t xml:space="preserve"> </w:t>
            </w:r>
            <w:r w:rsidR="00B15DDD" w:rsidRPr="00B15DDD">
              <w:rPr>
                <w:rFonts w:cstheme="minorHAnsi"/>
                <w:color w:val="2F5496" w:themeColor="accent5" w:themeShade="BF"/>
                <w:sz w:val="20"/>
                <w:szCs w:val="20"/>
              </w:rPr>
              <w:t>Estarán comprendidas también dentro del uso de suelo Residencial con destino vivienda, los inmuebles destinados al arriendo por piezas o habitaciones para estos fines, conforme a lo previsto en el Capítulo 15</w:t>
            </w:r>
            <w:r w:rsidR="00B15DDD">
              <w:rPr>
                <w:rFonts w:cstheme="minorHAnsi"/>
                <w:color w:val="2F5496" w:themeColor="accent5" w:themeShade="BF"/>
                <w:sz w:val="20"/>
                <w:szCs w:val="20"/>
              </w:rPr>
              <w:t>, del Título 4 de esta Ordenanza.</w:t>
            </w:r>
          </w:p>
        </w:tc>
        <w:tc>
          <w:tcPr>
            <w:tcW w:w="18711" w:type="dxa"/>
          </w:tcPr>
          <w:p w14:paraId="40EEA3FC" w14:textId="77777777" w:rsidR="00ED1156" w:rsidRDefault="00ED1156" w:rsidP="00ED1156">
            <w:pPr>
              <w:ind w:left="164" w:right="130"/>
              <w:jc w:val="both"/>
              <w:rPr>
                <w:rFonts w:cstheme="minorHAnsi"/>
                <w:sz w:val="20"/>
                <w:szCs w:val="20"/>
              </w:rPr>
            </w:pPr>
          </w:p>
        </w:tc>
      </w:tr>
      <w:tr w:rsidR="00ED1156" w:rsidRPr="00536FF3" w14:paraId="1DAC511C" w14:textId="1E15CC85" w:rsidTr="00367A46">
        <w:trPr>
          <w:trHeight w:val="1814"/>
          <w:jc w:val="center"/>
        </w:trPr>
        <w:tc>
          <w:tcPr>
            <w:tcW w:w="18711" w:type="dxa"/>
            <w:gridSpan w:val="3"/>
            <w:vAlign w:val="center"/>
          </w:tcPr>
          <w:p w14:paraId="50E1EE64" w14:textId="77777777" w:rsidR="00445763" w:rsidRDefault="009E3A40" w:rsidP="00445763">
            <w:pPr>
              <w:ind w:left="74" w:right="173"/>
              <w:jc w:val="both"/>
              <w:rPr>
                <w:rFonts w:cstheme="minorHAnsi"/>
                <w:b/>
                <w:color w:val="000000"/>
              </w:rPr>
            </w:pPr>
            <w:r>
              <w:rPr>
                <w:rFonts w:cstheme="minorHAnsi"/>
                <w:b/>
                <w:color w:val="000000"/>
              </w:rPr>
              <w:t>INCORPORACIÓN DE NUEVO CAPÍTULO 15 AL TÍTULO 4 – DE LA ARQUITECTURA</w:t>
            </w:r>
          </w:p>
          <w:p w14:paraId="7175C725" w14:textId="77777777" w:rsidR="00445763" w:rsidRDefault="00445763" w:rsidP="00B15DDD">
            <w:pPr>
              <w:ind w:left="74" w:right="176"/>
              <w:jc w:val="both"/>
              <w:rPr>
                <w:rFonts w:ascii="Verdana" w:hAnsi="Verdana"/>
                <w:b/>
                <w:sz w:val="20"/>
                <w:szCs w:val="20"/>
              </w:rPr>
            </w:pPr>
          </w:p>
          <w:p w14:paraId="47366975" w14:textId="61D6332A" w:rsidR="00445763" w:rsidRDefault="009E3A40" w:rsidP="00B15DDD">
            <w:pPr>
              <w:ind w:left="74" w:right="176"/>
              <w:jc w:val="both"/>
              <w:rPr>
                <w:rFonts w:cstheme="minorHAnsi"/>
                <w:b/>
                <w:color w:val="000000"/>
              </w:rPr>
            </w:pPr>
            <w:r w:rsidRPr="00F61DF1">
              <w:rPr>
                <w:rFonts w:ascii="Verdana" w:hAnsi="Verdana"/>
                <w:b/>
                <w:sz w:val="20"/>
                <w:szCs w:val="20"/>
              </w:rPr>
              <w:t>CAPÍTULO 15</w:t>
            </w:r>
          </w:p>
          <w:p w14:paraId="4553D937" w14:textId="137C6800" w:rsidR="009E3A40" w:rsidRPr="00F05340" w:rsidRDefault="00B15DDD" w:rsidP="00B15DDD">
            <w:pPr>
              <w:ind w:left="74" w:right="176"/>
              <w:jc w:val="both"/>
              <w:rPr>
                <w:rFonts w:cstheme="minorHAnsi"/>
                <w:b/>
                <w:color w:val="000000"/>
              </w:rPr>
            </w:pPr>
            <w:r>
              <w:rPr>
                <w:rFonts w:ascii="Verdana" w:hAnsi="Verdana"/>
                <w:b/>
                <w:sz w:val="20"/>
                <w:szCs w:val="20"/>
              </w:rPr>
              <w:t xml:space="preserve">DE LOS INMUEBLES CUYOS EDIFICIOS SE DESTINEN AL </w:t>
            </w:r>
            <w:r w:rsidRPr="00F61DF1">
              <w:rPr>
                <w:rFonts w:ascii="Verdana" w:hAnsi="Verdana"/>
                <w:b/>
                <w:sz w:val="20"/>
                <w:szCs w:val="20"/>
              </w:rPr>
              <w:t xml:space="preserve">ARRIENDO </w:t>
            </w:r>
            <w:r>
              <w:rPr>
                <w:rFonts w:ascii="Verdana" w:hAnsi="Verdana"/>
                <w:b/>
                <w:sz w:val="20"/>
                <w:szCs w:val="20"/>
              </w:rPr>
              <w:t xml:space="preserve">O SUBARRIENDO POR PIEZAS O </w:t>
            </w:r>
            <w:r w:rsidRPr="00B15DDD">
              <w:rPr>
                <w:rFonts w:ascii="Verdana" w:hAnsi="Verdana"/>
                <w:b/>
                <w:sz w:val="20"/>
                <w:szCs w:val="20"/>
              </w:rPr>
              <w:t>HABITACIONES PARA USO RESIDENCIAL</w:t>
            </w:r>
            <w:r w:rsidR="00445763">
              <w:rPr>
                <w:rFonts w:ascii="Verdana" w:hAnsi="Verdana"/>
                <w:b/>
                <w:sz w:val="20"/>
                <w:szCs w:val="20"/>
              </w:rPr>
              <w:t>.</w:t>
            </w:r>
          </w:p>
        </w:tc>
      </w:tr>
      <w:tr w:rsidR="000F0C86" w:rsidRPr="00536FF3" w14:paraId="29DC1FFC" w14:textId="3CC0F716" w:rsidTr="00367A46">
        <w:trPr>
          <w:trHeight w:val="290"/>
          <w:jc w:val="center"/>
        </w:trPr>
        <w:tc>
          <w:tcPr>
            <w:tcW w:w="18711" w:type="dxa"/>
            <w:vAlign w:val="center"/>
          </w:tcPr>
          <w:p w14:paraId="56EE374C" w14:textId="5C38DC14" w:rsidR="009E3A40" w:rsidRPr="00D61583" w:rsidRDefault="00B15DDD" w:rsidP="00B15DDD">
            <w:pPr>
              <w:jc w:val="center"/>
              <w:rPr>
                <w:rFonts w:cstheme="minorHAnsi"/>
                <w:sz w:val="20"/>
                <w:szCs w:val="20"/>
              </w:rPr>
            </w:pPr>
            <w:r>
              <w:rPr>
                <w:rFonts w:cstheme="minorHAnsi"/>
                <w:sz w:val="20"/>
                <w:szCs w:val="20"/>
              </w:rPr>
              <w:t>-</w:t>
            </w:r>
          </w:p>
        </w:tc>
        <w:tc>
          <w:tcPr>
            <w:tcW w:w="18711" w:type="dxa"/>
          </w:tcPr>
          <w:p w14:paraId="73174B8E" w14:textId="77777777" w:rsidR="00ED1156" w:rsidRPr="00515356" w:rsidRDefault="00ED1156" w:rsidP="00D76BF5">
            <w:pPr>
              <w:pStyle w:val="Prrafodelista"/>
              <w:spacing w:line="276" w:lineRule="auto"/>
              <w:rPr>
                <w:rFonts w:cstheme="minorHAnsi"/>
                <w:color w:val="2F5496" w:themeColor="accent5" w:themeShade="BF"/>
                <w:sz w:val="20"/>
                <w:szCs w:val="20"/>
              </w:rPr>
            </w:pPr>
          </w:p>
          <w:p w14:paraId="02217AA2" w14:textId="63FA60FE" w:rsidR="00515356" w:rsidRPr="00515356" w:rsidRDefault="009E3A40" w:rsidP="00D76BF5">
            <w:pPr>
              <w:tabs>
                <w:tab w:val="left" w:pos="1876"/>
                <w:tab w:val="left" w:pos="6133"/>
              </w:tabs>
              <w:spacing w:line="276" w:lineRule="auto"/>
              <w:ind w:left="179" w:right="177"/>
              <w:jc w:val="both"/>
              <w:rPr>
                <w:rFonts w:cstheme="minorHAnsi"/>
                <w:color w:val="2F5496" w:themeColor="accent5" w:themeShade="BF"/>
                <w:sz w:val="20"/>
                <w:szCs w:val="20"/>
              </w:rPr>
            </w:pPr>
            <w:r w:rsidRPr="00515356">
              <w:rPr>
                <w:rFonts w:cstheme="minorHAnsi"/>
                <w:b/>
                <w:color w:val="2F5496" w:themeColor="accent5" w:themeShade="BF"/>
                <w:sz w:val="20"/>
                <w:szCs w:val="20"/>
              </w:rPr>
              <w:t>Artículo 4.15.1.</w:t>
            </w:r>
            <w:r w:rsidRPr="00515356">
              <w:rPr>
                <w:rFonts w:cstheme="minorHAnsi"/>
                <w:color w:val="2F5496" w:themeColor="accent5" w:themeShade="BF"/>
                <w:sz w:val="20"/>
                <w:szCs w:val="20"/>
              </w:rPr>
              <w:t xml:space="preserve">      </w:t>
            </w:r>
            <w:r w:rsidR="00367A46">
              <w:rPr>
                <w:rFonts w:cstheme="minorHAnsi"/>
                <w:color w:val="2F5496" w:themeColor="accent5" w:themeShade="BF"/>
                <w:sz w:val="20"/>
                <w:szCs w:val="20"/>
              </w:rPr>
              <w:t xml:space="preserve">   </w:t>
            </w:r>
            <w:r w:rsidR="00515356" w:rsidRPr="00515356">
              <w:rPr>
                <w:rFonts w:cstheme="minorHAnsi"/>
                <w:color w:val="2F5496" w:themeColor="accent5" w:themeShade="BF"/>
                <w:sz w:val="20"/>
                <w:szCs w:val="20"/>
              </w:rPr>
              <w:t xml:space="preserve">Los edificios que se construyan en predios urbanos o aquellos existentes que se remodelen, rehabiliten o amplíen y se destinen al arriendo o subarriendo por piezas o habitaciones para uso residencial, deberán dar cumplimiento a lo dispuesto en la Ley General de Urbanismo y Construcciones como en esta Ordenanza, y especialmente a las normas de éste Capítulo, cuyas disposiciones prevalecerán sobre aquellas de carácter general contenidas en esta misma Ordenanza cuando ambas regulen una misma materia. </w:t>
            </w:r>
          </w:p>
          <w:p w14:paraId="0BCC4317" w14:textId="70EB1F28" w:rsidR="001F6A9D" w:rsidRPr="00515356" w:rsidRDefault="001F6A9D" w:rsidP="00D76BF5">
            <w:pPr>
              <w:spacing w:line="276" w:lineRule="auto"/>
              <w:ind w:left="179" w:right="173"/>
              <w:jc w:val="both"/>
              <w:rPr>
                <w:rFonts w:cstheme="minorHAnsi"/>
                <w:color w:val="2F5496" w:themeColor="accent5" w:themeShade="BF"/>
                <w:sz w:val="20"/>
                <w:szCs w:val="20"/>
              </w:rPr>
            </w:pPr>
          </w:p>
        </w:tc>
        <w:tc>
          <w:tcPr>
            <w:tcW w:w="18711" w:type="dxa"/>
          </w:tcPr>
          <w:p w14:paraId="51D3D43E" w14:textId="77777777" w:rsidR="00ED1156" w:rsidRPr="00000C9E" w:rsidRDefault="00ED1156" w:rsidP="00ED1156">
            <w:pPr>
              <w:ind w:left="164" w:right="127"/>
              <w:jc w:val="both"/>
              <w:rPr>
                <w:rFonts w:cstheme="minorHAnsi"/>
                <w:color w:val="000000"/>
                <w:sz w:val="20"/>
                <w:szCs w:val="20"/>
              </w:rPr>
            </w:pPr>
          </w:p>
        </w:tc>
      </w:tr>
      <w:tr w:rsidR="000F0C86" w:rsidRPr="00536FF3" w14:paraId="4511044B" w14:textId="187165B3" w:rsidTr="00367A46">
        <w:trPr>
          <w:trHeight w:val="1189"/>
          <w:jc w:val="center"/>
        </w:trPr>
        <w:tc>
          <w:tcPr>
            <w:tcW w:w="18711" w:type="dxa"/>
            <w:vAlign w:val="center"/>
          </w:tcPr>
          <w:p w14:paraId="5A3FAA3A" w14:textId="5F54F8EF" w:rsidR="00ED1156" w:rsidRPr="00F05340" w:rsidRDefault="00B15DDD" w:rsidP="00B15DDD">
            <w:pPr>
              <w:pStyle w:val="Default"/>
              <w:ind w:right="127"/>
              <w:jc w:val="center"/>
              <w:rPr>
                <w:rFonts w:asciiTheme="minorHAnsi" w:hAnsiTheme="minorHAnsi" w:cstheme="minorHAnsi"/>
                <w:sz w:val="20"/>
                <w:szCs w:val="20"/>
              </w:rPr>
            </w:pPr>
            <w:r>
              <w:rPr>
                <w:rFonts w:asciiTheme="minorHAnsi" w:hAnsiTheme="minorHAnsi" w:cstheme="minorHAnsi"/>
                <w:sz w:val="20"/>
                <w:szCs w:val="20"/>
              </w:rPr>
              <w:t>-</w:t>
            </w:r>
          </w:p>
        </w:tc>
        <w:tc>
          <w:tcPr>
            <w:tcW w:w="18711" w:type="dxa"/>
          </w:tcPr>
          <w:p w14:paraId="64A2D185" w14:textId="77777777" w:rsidR="00ED1156" w:rsidRPr="004E04FE" w:rsidRDefault="00ED1156" w:rsidP="00D76BF5">
            <w:pPr>
              <w:spacing w:line="276" w:lineRule="auto"/>
              <w:ind w:right="127"/>
              <w:jc w:val="both"/>
              <w:rPr>
                <w:rFonts w:cstheme="minorHAnsi"/>
                <w:bCs/>
                <w:sz w:val="20"/>
                <w:szCs w:val="20"/>
              </w:rPr>
            </w:pPr>
          </w:p>
          <w:p w14:paraId="13444660" w14:textId="4092873A" w:rsidR="00515356" w:rsidRPr="00515356" w:rsidRDefault="009E3A40" w:rsidP="00D76BF5">
            <w:pPr>
              <w:tabs>
                <w:tab w:val="left" w:pos="6133"/>
              </w:tabs>
              <w:spacing w:line="276" w:lineRule="auto"/>
              <w:ind w:left="179" w:right="177"/>
              <w:jc w:val="both"/>
              <w:rPr>
                <w:rFonts w:cstheme="minorHAnsi"/>
                <w:color w:val="2F5496" w:themeColor="accent5" w:themeShade="BF"/>
                <w:sz w:val="20"/>
                <w:szCs w:val="20"/>
              </w:rPr>
            </w:pPr>
            <w:r w:rsidRPr="00790EB3">
              <w:rPr>
                <w:rFonts w:cstheme="minorHAnsi"/>
                <w:b/>
                <w:color w:val="2F5496" w:themeColor="accent5" w:themeShade="BF"/>
                <w:sz w:val="20"/>
                <w:szCs w:val="20"/>
              </w:rPr>
              <w:t xml:space="preserve">Artículo 4.15.2.      </w:t>
            </w:r>
            <w:r w:rsidR="00367A46">
              <w:rPr>
                <w:rFonts w:cstheme="minorHAnsi"/>
                <w:b/>
                <w:color w:val="2F5496" w:themeColor="accent5" w:themeShade="BF"/>
                <w:sz w:val="20"/>
                <w:szCs w:val="20"/>
              </w:rPr>
              <w:t xml:space="preserve">    </w:t>
            </w:r>
            <w:r w:rsidR="00515356" w:rsidRPr="00515356">
              <w:rPr>
                <w:rFonts w:cstheme="minorHAnsi"/>
                <w:color w:val="2F5496" w:themeColor="accent5" w:themeShade="BF"/>
                <w:sz w:val="20"/>
                <w:szCs w:val="20"/>
              </w:rPr>
              <w:t>Para los efectos de este Capítulo, se entenderá que el edificio se encuentra destinado al arriendo o subarriendo por piezas o habitaciones, cuando en él existan 2 o más de estas unidades destinadas a tales fines.</w:t>
            </w:r>
          </w:p>
          <w:p w14:paraId="577246B0" w14:textId="073D6716" w:rsidR="00B15DDD" w:rsidRPr="004E04FE" w:rsidRDefault="00B15DDD" w:rsidP="00D76BF5">
            <w:pPr>
              <w:pStyle w:val="Default"/>
              <w:spacing w:line="276" w:lineRule="auto"/>
              <w:ind w:right="127"/>
              <w:jc w:val="both"/>
              <w:rPr>
                <w:rFonts w:cstheme="minorHAnsi"/>
                <w:bCs/>
                <w:sz w:val="20"/>
                <w:szCs w:val="20"/>
              </w:rPr>
            </w:pPr>
          </w:p>
        </w:tc>
        <w:tc>
          <w:tcPr>
            <w:tcW w:w="18711" w:type="dxa"/>
          </w:tcPr>
          <w:p w14:paraId="5157399A" w14:textId="77777777" w:rsidR="00ED1156" w:rsidRPr="004E04FE" w:rsidRDefault="00ED1156" w:rsidP="00ED1156">
            <w:pPr>
              <w:ind w:right="127"/>
              <w:jc w:val="both"/>
              <w:rPr>
                <w:rFonts w:cstheme="minorHAnsi"/>
                <w:bCs/>
                <w:sz w:val="20"/>
                <w:szCs w:val="20"/>
              </w:rPr>
            </w:pPr>
          </w:p>
        </w:tc>
      </w:tr>
      <w:tr w:rsidR="000F0C86" w:rsidRPr="00536FF3" w14:paraId="4A4F5938" w14:textId="77777777" w:rsidTr="00367A46">
        <w:trPr>
          <w:trHeight w:val="290"/>
          <w:jc w:val="center"/>
        </w:trPr>
        <w:tc>
          <w:tcPr>
            <w:tcW w:w="18711" w:type="dxa"/>
            <w:vAlign w:val="center"/>
          </w:tcPr>
          <w:p w14:paraId="24D6B5B2" w14:textId="20B9FEEC" w:rsidR="00445763" w:rsidRDefault="00B15DDD" w:rsidP="00B15DDD">
            <w:pPr>
              <w:jc w:val="center"/>
              <w:rPr>
                <w:rFonts w:cstheme="minorHAnsi"/>
                <w:b/>
                <w:bCs/>
                <w:sz w:val="20"/>
                <w:szCs w:val="20"/>
              </w:rPr>
            </w:pPr>
            <w:r>
              <w:rPr>
                <w:rFonts w:cstheme="minorHAnsi"/>
                <w:b/>
                <w:bCs/>
                <w:sz w:val="20"/>
                <w:szCs w:val="20"/>
              </w:rPr>
              <w:t>-</w:t>
            </w:r>
          </w:p>
        </w:tc>
        <w:tc>
          <w:tcPr>
            <w:tcW w:w="18711" w:type="dxa"/>
          </w:tcPr>
          <w:p w14:paraId="2A579DE2" w14:textId="77777777" w:rsidR="00445763" w:rsidRPr="00445763" w:rsidRDefault="00445763" w:rsidP="00D76BF5">
            <w:pPr>
              <w:tabs>
                <w:tab w:val="left" w:pos="6133"/>
              </w:tabs>
              <w:spacing w:line="276" w:lineRule="auto"/>
              <w:ind w:left="179" w:right="177"/>
              <w:jc w:val="both"/>
              <w:rPr>
                <w:rFonts w:cstheme="minorHAnsi"/>
                <w:sz w:val="20"/>
                <w:szCs w:val="20"/>
              </w:rPr>
            </w:pPr>
          </w:p>
          <w:p w14:paraId="24D7C074" w14:textId="27D3D383" w:rsidR="00515356" w:rsidRDefault="00445763" w:rsidP="00D76BF5">
            <w:pPr>
              <w:tabs>
                <w:tab w:val="left" w:pos="6133"/>
              </w:tabs>
              <w:spacing w:line="276" w:lineRule="auto"/>
              <w:ind w:left="179" w:right="177"/>
              <w:jc w:val="both"/>
              <w:rPr>
                <w:rFonts w:cstheme="minorHAnsi"/>
                <w:color w:val="2F5496" w:themeColor="accent5" w:themeShade="BF"/>
                <w:sz w:val="20"/>
                <w:szCs w:val="20"/>
              </w:rPr>
            </w:pPr>
            <w:r w:rsidRPr="00790EB3">
              <w:rPr>
                <w:rFonts w:cstheme="minorHAnsi"/>
                <w:b/>
                <w:color w:val="2F5496" w:themeColor="accent5" w:themeShade="BF"/>
                <w:sz w:val="20"/>
                <w:szCs w:val="20"/>
              </w:rPr>
              <w:t xml:space="preserve">Artículo 4.15.3. </w:t>
            </w:r>
            <w:r w:rsidR="00367A46">
              <w:rPr>
                <w:rFonts w:cstheme="minorHAnsi"/>
                <w:color w:val="2F5496" w:themeColor="accent5" w:themeShade="BF"/>
                <w:sz w:val="20"/>
                <w:szCs w:val="20"/>
              </w:rPr>
              <w:t xml:space="preserve">    </w:t>
            </w:r>
            <w:r w:rsidR="00790EB3" w:rsidRPr="00790EB3">
              <w:rPr>
                <w:rFonts w:cstheme="minorHAnsi"/>
                <w:color w:val="2F5496" w:themeColor="accent5" w:themeShade="BF"/>
                <w:sz w:val="20"/>
                <w:szCs w:val="20"/>
              </w:rPr>
              <w:t>Para</w:t>
            </w:r>
            <w:r w:rsidR="00515356" w:rsidRPr="00515356">
              <w:rPr>
                <w:rFonts w:cstheme="minorHAnsi"/>
                <w:color w:val="2F5496" w:themeColor="accent5" w:themeShade="BF"/>
                <w:sz w:val="20"/>
                <w:szCs w:val="20"/>
              </w:rPr>
              <w:t xml:space="preserve"> efectos de su emplazamiento, los edificios señalados en este Capítulo se asimilarán al destino vivienda del uso de suelo residencial y no podrán acogerse a lo dispuesto en el inciso final del artículo 2.1.25. de esta Ordenanza. Asimismo, y sin perjuicio del cumplimiento del resto de las normas urbanísticas, deberán cumplir con la densidad definida en el respectivo instrumento de planificación territorial, así como con la carga de ocupación máxima establecida en el artículo 4.15.5. de esta Ordenanza.</w:t>
            </w:r>
          </w:p>
          <w:p w14:paraId="5C0D3541" w14:textId="77777777" w:rsidR="00515356" w:rsidRDefault="00515356" w:rsidP="00D76BF5">
            <w:pPr>
              <w:tabs>
                <w:tab w:val="left" w:pos="6133"/>
              </w:tabs>
              <w:spacing w:line="276" w:lineRule="auto"/>
              <w:ind w:left="179" w:right="177"/>
              <w:jc w:val="both"/>
              <w:rPr>
                <w:rFonts w:cstheme="minorHAnsi"/>
                <w:color w:val="2F5496" w:themeColor="accent5" w:themeShade="BF"/>
                <w:sz w:val="20"/>
                <w:szCs w:val="20"/>
              </w:rPr>
            </w:pPr>
          </w:p>
          <w:p w14:paraId="1E9FF3FC" w14:textId="4930C2BB" w:rsidR="00515356" w:rsidRPr="00515356" w:rsidRDefault="00515356" w:rsidP="00D76BF5">
            <w:pPr>
              <w:tabs>
                <w:tab w:val="left" w:pos="6133"/>
              </w:tabs>
              <w:spacing w:line="276" w:lineRule="auto"/>
              <w:ind w:left="179" w:right="177" w:firstLine="1697"/>
              <w:jc w:val="both"/>
              <w:rPr>
                <w:rFonts w:cstheme="minorHAnsi"/>
                <w:color w:val="2F5496" w:themeColor="accent5" w:themeShade="BF"/>
                <w:sz w:val="20"/>
                <w:szCs w:val="20"/>
              </w:rPr>
            </w:pPr>
            <w:r w:rsidRPr="00515356">
              <w:rPr>
                <w:rFonts w:cstheme="minorHAnsi"/>
                <w:color w:val="2F5496" w:themeColor="accent5" w:themeShade="BF"/>
                <w:sz w:val="20"/>
                <w:szCs w:val="20"/>
              </w:rPr>
              <w:lastRenderedPageBreak/>
              <w:t xml:space="preserve">Las solicitudes de permiso de edificación de obra nueva u obra menor si correspondiese, o de reparación, alteración o ampliación en caso de edificaciones existentes, se aprobarán como edificación colectiva. Junto con la solicitud de permiso de acuerdo al artículo 5.1.4. o artículo 5.1.6. de esta Ordenanza que correspondiese, se deberá presentar un informe del arquitecto que suscribe la solicitud, en el cual se detalle el cumplimiento de las exigencias establecidas en este Capítulo y la forma en que se cumplen, además, las normas relativas a las instalaciones de agua potable, alcantarillado, electricidad, gas y telecomunicaciones, cuando corresponda. </w:t>
            </w:r>
          </w:p>
          <w:p w14:paraId="5C054567" w14:textId="3D7C81F7" w:rsidR="00445763" w:rsidRPr="00445763" w:rsidRDefault="00445763" w:rsidP="00D76BF5">
            <w:pPr>
              <w:tabs>
                <w:tab w:val="left" w:pos="2268"/>
              </w:tabs>
              <w:spacing w:line="276" w:lineRule="auto"/>
              <w:jc w:val="both"/>
              <w:rPr>
                <w:rFonts w:cstheme="minorHAnsi"/>
                <w:sz w:val="20"/>
                <w:szCs w:val="20"/>
              </w:rPr>
            </w:pPr>
            <w:r w:rsidRPr="00445763">
              <w:rPr>
                <w:rFonts w:cstheme="minorHAnsi"/>
                <w:sz w:val="20"/>
                <w:szCs w:val="20"/>
              </w:rPr>
              <w:t xml:space="preserve"> </w:t>
            </w:r>
          </w:p>
        </w:tc>
        <w:tc>
          <w:tcPr>
            <w:tcW w:w="18711" w:type="dxa"/>
          </w:tcPr>
          <w:p w14:paraId="51447528" w14:textId="77777777" w:rsidR="00445763" w:rsidRPr="004E04FE" w:rsidRDefault="00445763" w:rsidP="00ED1156">
            <w:pPr>
              <w:ind w:right="127"/>
              <w:jc w:val="both"/>
              <w:rPr>
                <w:rFonts w:cstheme="minorHAnsi"/>
                <w:bCs/>
                <w:sz w:val="20"/>
                <w:szCs w:val="20"/>
              </w:rPr>
            </w:pPr>
          </w:p>
        </w:tc>
      </w:tr>
      <w:tr w:rsidR="000F0C86" w:rsidRPr="00536FF3" w14:paraId="49E6CFC0" w14:textId="77777777" w:rsidTr="00367A46">
        <w:trPr>
          <w:trHeight w:val="290"/>
          <w:jc w:val="center"/>
        </w:trPr>
        <w:tc>
          <w:tcPr>
            <w:tcW w:w="18711" w:type="dxa"/>
            <w:vAlign w:val="center"/>
          </w:tcPr>
          <w:p w14:paraId="21970EEF" w14:textId="55119B70" w:rsidR="00020EF2" w:rsidRDefault="007B29A1" w:rsidP="007B29A1">
            <w:pPr>
              <w:jc w:val="center"/>
              <w:rPr>
                <w:rFonts w:cstheme="minorHAnsi"/>
                <w:b/>
                <w:bCs/>
                <w:sz w:val="20"/>
                <w:szCs w:val="20"/>
              </w:rPr>
            </w:pPr>
            <w:r>
              <w:rPr>
                <w:rFonts w:cstheme="minorHAnsi"/>
                <w:b/>
                <w:bCs/>
                <w:sz w:val="20"/>
                <w:szCs w:val="20"/>
              </w:rPr>
              <w:t>-</w:t>
            </w:r>
          </w:p>
        </w:tc>
        <w:tc>
          <w:tcPr>
            <w:tcW w:w="18711" w:type="dxa"/>
          </w:tcPr>
          <w:p w14:paraId="1BEAC88A" w14:textId="77777777" w:rsidR="00020EF2" w:rsidRPr="00515356" w:rsidRDefault="00020EF2" w:rsidP="00ED1156">
            <w:pPr>
              <w:ind w:right="127"/>
              <w:jc w:val="both"/>
              <w:rPr>
                <w:rFonts w:cstheme="minorHAnsi"/>
                <w:color w:val="2F5496" w:themeColor="accent5" w:themeShade="BF"/>
                <w:sz w:val="20"/>
                <w:szCs w:val="20"/>
              </w:rPr>
            </w:pPr>
          </w:p>
          <w:p w14:paraId="367A5D7F" w14:textId="3A869D3A" w:rsidR="00515356" w:rsidRDefault="00020EF2" w:rsidP="00515356">
            <w:pPr>
              <w:tabs>
                <w:tab w:val="left" w:pos="6133"/>
              </w:tabs>
              <w:spacing w:line="276" w:lineRule="auto"/>
              <w:ind w:left="179" w:right="177"/>
              <w:jc w:val="both"/>
              <w:rPr>
                <w:rFonts w:cstheme="minorHAnsi"/>
                <w:color w:val="2F5496" w:themeColor="accent5" w:themeShade="BF"/>
                <w:sz w:val="20"/>
                <w:szCs w:val="20"/>
              </w:rPr>
            </w:pPr>
            <w:r w:rsidRPr="00515356">
              <w:rPr>
                <w:rFonts w:cstheme="minorHAnsi"/>
                <w:b/>
                <w:color w:val="2F5496" w:themeColor="accent5" w:themeShade="BF"/>
                <w:sz w:val="20"/>
                <w:szCs w:val="20"/>
              </w:rPr>
              <w:t>Artículo 4.15.4.</w:t>
            </w:r>
            <w:r w:rsidRPr="00515356">
              <w:rPr>
                <w:rFonts w:cstheme="minorHAnsi"/>
                <w:color w:val="2F5496" w:themeColor="accent5" w:themeShade="BF"/>
                <w:sz w:val="20"/>
                <w:szCs w:val="20"/>
              </w:rPr>
              <w:t xml:space="preserve">      </w:t>
            </w:r>
            <w:r w:rsidR="00367A46">
              <w:rPr>
                <w:rFonts w:cstheme="minorHAnsi"/>
                <w:color w:val="2F5496" w:themeColor="accent5" w:themeShade="BF"/>
                <w:sz w:val="20"/>
                <w:szCs w:val="20"/>
              </w:rPr>
              <w:t xml:space="preserve">   </w:t>
            </w:r>
            <w:r w:rsidRPr="00790EB3">
              <w:rPr>
                <w:rFonts w:cstheme="minorHAnsi"/>
                <w:color w:val="2F5496" w:themeColor="accent5" w:themeShade="BF"/>
                <w:sz w:val="20"/>
                <w:szCs w:val="20"/>
              </w:rPr>
              <w:t>Para</w:t>
            </w:r>
            <w:r w:rsidRPr="00020EF2">
              <w:rPr>
                <w:rFonts w:cstheme="minorHAnsi"/>
                <w:color w:val="2F5496" w:themeColor="accent5" w:themeShade="BF"/>
                <w:sz w:val="20"/>
                <w:szCs w:val="20"/>
              </w:rPr>
              <w:t xml:space="preserve"> </w:t>
            </w:r>
            <w:r w:rsidR="00515356" w:rsidRPr="00515356">
              <w:rPr>
                <w:rFonts w:cstheme="minorHAnsi"/>
                <w:color w:val="2F5496" w:themeColor="accent5" w:themeShade="BF"/>
                <w:sz w:val="20"/>
                <w:szCs w:val="20"/>
              </w:rPr>
              <w:t>efectos de este Capítulo, se entenderá por pieza o habitación destinada al arriendo o subarriendo, aquella unidad que cuente al menos con una plaza para dormir y cumpla además con los requisitos de dimensionamiento y habitabilidad a que se refieren los artículos 4.15.6. y 4.15.7. de esta Ordenanza. Los edificios destinados al arriendo o subarriendo de estas unidades deberán contar con servicios higiénicos de uso privado o compartido según corresponda, así como con recintos de uso común, en los términos señalados en el presente Capítulo.</w:t>
            </w:r>
          </w:p>
          <w:p w14:paraId="3B24B0A1" w14:textId="60DD1146" w:rsidR="00020EF2" w:rsidRPr="00515356" w:rsidRDefault="00020EF2" w:rsidP="00ED1156">
            <w:pPr>
              <w:ind w:right="127"/>
              <w:jc w:val="both"/>
              <w:rPr>
                <w:rFonts w:cstheme="minorHAnsi"/>
                <w:color w:val="2F5496" w:themeColor="accent5" w:themeShade="BF"/>
                <w:sz w:val="20"/>
                <w:szCs w:val="20"/>
              </w:rPr>
            </w:pPr>
          </w:p>
        </w:tc>
        <w:tc>
          <w:tcPr>
            <w:tcW w:w="18711" w:type="dxa"/>
          </w:tcPr>
          <w:p w14:paraId="0998E71C" w14:textId="77777777" w:rsidR="00020EF2" w:rsidRPr="004E04FE" w:rsidRDefault="00020EF2" w:rsidP="00ED1156">
            <w:pPr>
              <w:ind w:right="127"/>
              <w:jc w:val="both"/>
              <w:rPr>
                <w:rFonts w:cstheme="minorHAnsi"/>
                <w:bCs/>
                <w:sz w:val="20"/>
                <w:szCs w:val="20"/>
              </w:rPr>
            </w:pPr>
          </w:p>
        </w:tc>
      </w:tr>
      <w:tr w:rsidR="000F0C86" w:rsidRPr="00536FF3" w14:paraId="04BF3C5B" w14:textId="77777777" w:rsidTr="00367A46">
        <w:trPr>
          <w:trHeight w:val="290"/>
          <w:jc w:val="center"/>
        </w:trPr>
        <w:tc>
          <w:tcPr>
            <w:tcW w:w="18711" w:type="dxa"/>
            <w:vAlign w:val="center"/>
          </w:tcPr>
          <w:p w14:paraId="377E55E3" w14:textId="09EA3273" w:rsidR="00445763" w:rsidRDefault="007B29A1" w:rsidP="007B29A1">
            <w:pPr>
              <w:jc w:val="center"/>
              <w:rPr>
                <w:rFonts w:cstheme="minorHAnsi"/>
                <w:b/>
                <w:bCs/>
                <w:sz w:val="20"/>
                <w:szCs w:val="20"/>
              </w:rPr>
            </w:pPr>
            <w:r>
              <w:rPr>
                <w:rFonts w:cstheme="minorHAnsi"/>
                <w:b/>
                <w:bCs/>
                <w:sz w:val="20"/>
                <w:szCs w:val="20"/>
              </w:rPr>
              <w:t>-</w:t>
            </w:r>
          </w:p>
        </w:tc>
        <w:tc>
          <w:tcPr>
            <w:tcW w:w="18711" w:type="dxa"/>
          </w:tcPr>
          <w:p w14:paraId="7369C92C" w14:textId="77777777" w:rsidR="00445763" w:rsidRDefault="00445763" w:rsidP="00ED1156">
            <w:pPr>
              <w:ind w:right="127"/>
              <w:jc w:val="both"/>
              <w:rPr>
                <w:rFonts w:cstheme="minorHAnsi"/>
                <w:bCs/>
                <w:sz w:val="20"/>
                <w:szCs w:val="20"/>
              </w:rPr>
            </w:pPr>
          </w:p>
          <w:p w14:paraId="2CB7B10B" w14:textId="40996439" w:rsidR="00842FBC" w:rsidRPr="00020EF2" w:rsidRDefault="002E5D2A" w:rsidP="00367A46">
            <w:pPr>
              <w:tabs>
                <w:tab w:val="left" w:pos="6133"/>
              </w:tabs>
              <w:spacing w:line="276" w:lineRule="auto"/>
              <w:ind w:left="179" w:right="177"/>
              <w:jc w:val="both"/>
              <w:rPr>
                <w:rFonts w:cstheme="minorHAnsi"/>
                <w:color w:val="2F5496" w:themeColor="accent5" w:themeShade="BF"/>
                <w:sz w:val="20"/>
                <w:szCs w:val="20"/>
              </w:rPr>
            </w:pPr>
            <w:r w:rsidRPr="00020EF2">
              <w:rPr>
                <w:rFonts w:cstheme="minorHAnsi"/>
                <w:b/>
                <w:color w:val="2F5496" w:themeColor="accent5" w:themeShade="BF"/>
                <w:sz w:val="20"/>
                <w:szCs w:val="20"/>
              </w:rPr>
              <w:t>Artículo 4.15.</w:t>
            </w:r>
            <w:r w:rsidR="00020EF2">
              <w:rPr>
                <w:rFonts w:cstheme="minorHAnsi"/>
                <w:b/>
                <w:color w:val="2F5496" w:themeColor="accent5" w:themeShade="BF"/>
                <w:sz w:val="20"/>
                <w:szCs w:val="20"/>
              </w:rPr>
              <w:t>5</w:t>
            </w:r>
            <w:r w:rsidRPr="00020EF2">
              <w:rPr>
                <w:rFonts w:cstheme="minorHAnsi"/>
                <w:b/>
                <w:color w:val="2F5496" w:themeColor="accent5" w:themeShade="BF"/>
                <w:sz w:val="20"/>
                <w:szCs w:val="20"/>
              </w:rPr>
              <w:t>.</w:t>
            </w:r>
            <w:r w:rsidR="00842FBC">
              <w:rPr>
                <w:rFonts w:cstheme="minorHAnsi"/>
                <w:color w:val="2F5496" w:themeColor="accent5" w:themeShade="BF"/>
                <w:sz w:val="20"/>
                <w:szCs w:val="20"/>
              </w:rPr>
              <w:t xml:space="preserve">     </w:t>
            </w:r>
            <w:r w:rsidR="00367A46">
              <w:rPr>
                <w:rFonts w:cstheme="minorHAnsi"/>
                <w:color w:val="2F5496" w:themeColor="accent5" w:themeShade="BF"/>
                <w:sz w:val="20"/>
                <w:szCs w:val="20"/>
              </w:rPr>
              <w:t xml:space="preserve">       </w:t>
            </w:r>
            <w:r w:rsidR="00842FBC" w:rsidRPr="00842FBC">
              <w:rPr>
                <w:rFonts w:cstheme="minorHAnsi"/>
                <w:color w:val="2F5496" w:themeColor="accent5" w:themeShade="BF"/>
                <w:sz w:val="20"/>
                <w:szCs w:val="20"/>
              </w:rPr>
              <w:t>La carga de ocupación máxima que deberán cumplir los edificios destinados al arriendo o subarriendo por piezas o habitaciones será la que resulte de la aplicación de la Tabla que se indica a continuación. Con todo, esta no podrá exceder los 80 ocupantes por inmueble:</w:t>
            </w:r>
          </w:p>
          <w:p w14:paraId="2619621B" w14:textId="77777777" w:rsidR="006C73A6" w:rsidRPr="00020EF2" w:rsidRDefault="006C73A6" w:rsidP="006C73A6">
            <w:pPr>
              <w:jc w:val="center"/>
              <w:rPr>
                <w:b/>
                <w:color w:val="2F5496" w:themeColor="accent5" w:themeShade="BF"/>
              </w:rPr>
            </w:pPr>
            <w:r w:rsidRPr="00020EF2">
              <w:rPr>
                <w:b/>
                <w:color w:val="2F5496" w:themeColor="accent5" w:themeShade="BF"/>
              </w:rPr>
              <w:t>CARGA DE OCUPACIÓN MÁXIMA</w:t>
            </w:r>
          </w:p>
          <w:p w14:paraId="36D566D9" w14:textId="77777777" w:rsidR="006C73A6" w:rsidRPr="00020EF2" w:rsidRDefault="006C73A6" w:rsidP="006C73A6">
            <w:pPr>
              <w:jc w:val="center"/>
              <w:rPr>
                <w:b/>
                <w:color w:val="2F5496" w:themeColor="accent5" w:themeShade="BF"/>
              </w:rPr>
            </w:pPr>
            <w:r w:rsidRPr="00020EF2">
              <w:rPr>
                <w:b/>
                <w:color w:val="2F5496" w:themeColor="accent5" w:themeShade="BF"/>
              </w:rPr>
              <w:t>POR PIEZA O HABITACIÓN</w:t>
            </w:r>
          </w:p>
          <w:p w14:paraId="4FDAF317" w14:textId="4CA212A1" w:rsidR="00A75F1C" w:rsidRPr="00020EF2" w:rsidRDefault="00A75F1C" w:rsidP="00ED1156">
            <w:pPr>
              <w:ind w:right="127"/>
              <w:jc w:val="both"/>
              <w:rPr>
                <w:rFonts w:cstheme="minorHAnsi"/>
                <w:bCs/>
                <w:color w:val="2F5496" w:themeColor="accent5" w:themeShade="BF"/>
                <w:sz w:val="20"/>
                <w:szCs w:val="20"/>
              </w:rPr>
            </w:pPr>
          </w:p>
          <w:tbl>
            <w:tblPr>
              <w:tblStyle w:val="Tablaconcuadrcula"/>
              <w:tblW w:w="6214" w:type="dxa"/>
              <w:tblLayout w:type="fixed"/>
              <w:tblLook w:val="04A0" w:firstRow="1" w:lastRow="0" w:firstColumn="1" w:lastColumn="0" w:noHBand="0" w:noVBand="1"/>
            </w:tblPr>
            <w:tblGrid>
              <w:gridCol w:w="1894"/>
              <w:gridCol w:w="2124"/>
              <w:gridCol w:w="2196"/>
            </w:tblGrid>
            <w:tr w:rsidR="00020EF2" w:rsidRPr="00020EF2" w14:paraId="672400FD" w14:textId="77777777" w:rsidTr="00367A46">
              <w:trPr>
                <w:trHeight w:val="978"/>
              </w:trPr>
              <w:tc>
                <w:tcPr>
                  <w:tcW w:w="1894" w:type="dxa"/>
                  <w:vAlign w:val="center"/>
                </w:tcPr>
                <w:p w14:paraId="3ECB9F68" w14:textId="77777777" w:rsidR="00020EF2" w:rsidRPr="00777D0B" w:rsidRDefault="00020EF2" w:rsidP="00020EF2">
                  <w:pPr>
                    <w:jc w:val="center"/>
                    <w:rPr>
                      <w:b/>
                      <w:color w:val="2F5496" w:themeColor="accent5" w:themeShade="BF"/>
                      <w:sz w:val="20"/>
                      <w:szCs w:val="20"/>
                    </w:rPr>
                  </w:pPr>
                  <w:r w:rsidRPr="00777D0B">
                    <w:rPr>
                      <w:b/>
                      <w:color w:val="2F5496" w:themeColor="accent5" w:themeShade="BF"/>
                      <w:sz w:val="20"/>
                      <w:szCs w:val="20"/>
                    </w:rPr>
                    <w:t>Número de ocupantes</w:t>
                  </w:r>
                </w:p>
                <w:p w14:paraId="3A9BACE9" w14:textId="24AF1B8B" w:rsidR="00020EF2" w:rsidRPr="00777D0B" w:rsidRDefault="00020EF2" w:rsidP="00020EF2">
                  <w:pPr>
                    <w:jc w:val="center"/>
                    <w:rPr>
                      <w:b/>
                      <w:color w:val="2F5496" w:themeColor="accent5" w:themeShade="BF"/>
                      <w:sz w:val="20"/>
                      <w:szCs w:val="20"/>
                    </w:rPr>
                  </w:pPr>
                  <w:r w:rsidRPr="00777D0B">
                    <w:rPr>
                      <w:b/>
                      <w:color w:val="2F5496" w:themeColor="accent5" w:themeShade="BF"/>
                      <w:sz w:val="20"/>
                      <w:szCs w:val="20"/>
                    </w:rPr>
                    <w:t>por pieza o habitación</w:t>
                  </w:r>
                </w:p>
              </w:tc>
              <w:tc>
                <w:tcPr>
                  <w:tcW w:w="2124" w:type="dxa"/>
                  <w:vAlign w:val="center"/>
                </w:tcPr>
                <w:p w14:paraId="2EAC4864" w14:textId="77777777" w:rsidR="00020EF2" w:rsidRPr="00777D0B" w:rsidRDefault="00020EF2" w:rsidP="00020EF2">
                  <w:pPr>
                    <w:jc w:val="center"/>
                    <w:rPr>
                      <w:b/>
                      <w:color w:val="2F5496" w:themeColor="accent5" w:themeShade="BF"/>
                      <w:sz w:val="20"/>
                      <w:szCs w:val="20"/>
                    </w:rPr>
                  </w:pPr>
                  <w:r w:rsidRPr="00777D0B">
                    <w:rPr>
                      <w:b/>
                      <w:color w:val="2F5496" w:themeColor="accent5" w:themeShade="BF"/>
                      <w:sz w:val="20"/>
                      <w:szCs w:val="20"/>
                    </w:rPr>
                    <w:t>Superficie mínima</w:t>
                  </w:r>
                </w:p>
                <w:p w14:paraId="593201EF" w14:textId="2261F255" w:rsidR="00020EF2" w:rsidRPr="00777D0B" w:rsidRDefault="00020EF2" w:rsidP="00020EF2">
                  <w:pPr>
                    <w:jc w:val="center"/>
                    <w:rPr>
                      <w:b/>
                      <w:color w:val="2F5496" w:themeColor="accent5" w:themeShade="BF"/>
                      <w:sz w:val="20"/>
                      <w:szCs w:val="20"/>
                    </w:rPr>
                  </w:pPr>
                  <w:r w:rsidRPr="00777D0B">
                    <w:rPr>
                      <w:b/>
                      <w:color w:val="2F5496" w:themeColor="accent5" w:themeShade="BF"/>
                      <w:sz w:val="20"/>
                      <w:szCs w:val="20"/>
                    </w:rPr>
                    <w:t>de la pieza o habitación (m</w:t>
                  </w:r>
                  <w:r w:rsidRPr="00777D0B">
                    <w:rPr>
                      <w:b/>
                      <w:color w:val="2F5496" w:themeColor="accent5" w:themeShade="BF"/>
                      <w:sz w:val="20"/>
                      <w:szCs w:val="20"/>
                      <w:vertAlign w:val="superscript"/>
                    </w:rPr>
                    <w:t>2</w:t>
                  </w:r>
                  <w:r w:rsidRPr="00777D0B">
                    <w:rPr>
                      <w:b/>
                      <w:color w:val="2F5496" w:themeColor="accent5" w:themeShade="BF"/>
                      <w:sz w:val="20"/>
                      <w:szCs w:val="20"/>
                    </w:rPr>
                    <w:t>)</w:t>
                  </w:r>
                </w:p>
              </w:tc>
              <w:tc>
                <w:tcPr>
                  <w:tcW w:w="2196" w:type="dxa"/>
                  <w:vAlign w:val="center"/>
                </w:tcPr>
                <w:p w14:paraId="6E810830" w14:textId="170A80EA" w:rsidR="00020EF2" w:rsidRPr="00777D0B" w:rsidRDefault="00020EF2" w:rsidP="00020EF2">
                  <w:pPr>
                    <w:jc w:val="center"/>
                    <w:rPr>
                      <w:b/>
                      <w:color w:val="2F5496" w:themeColor="accent5" w:themeShade="BF"/>
                      <w:sz w:val="20"/>
                      <w:szCs w:val="20"/>
                    </w:rPr>
                  </w:pPr>
                  <w:r w:rsidRPr="00777D0B">
                    <w:rPr>
                      <w:b/>
                      <w:color w:val="2F5496" w:themeColor="accent5" w:themeShade="BF"/>
                      <w:sz w:val="20"/>
                      <w:szCs w:val="20"/>
                    </w:rPr>
                    <w:t xml:space="preserve">Condición </w:t>
                  </w:r>
                </w:p>
              </w:tc>
            </w:tr>
            <w:tr w:rsidR="00020EF2" w:rsidRPr="00020EF2" w14:paraId="4387D156" w14:textId="77777777" w:rsidTr="00367A46">
              <w:trPr>
                <w:trHeight w:val="265"/>
              </w:trPr>
              <w:tc>
                <w:tcPr>
                  <w:tcW w:w="1894" w:type="dxa"/>
                  <w:vAlign w:val="center"/>
                </w:tcPr>
                <w:p w14:paraId="6B46C4F2" w14:textId="6B333080" w:rsidR="00020EF2" w:rsidRPr="00777D0B" w:rsidRDefault="00020EF2" w:rsidP="00020EF2">
                  <w:pPr>
                    <w:jc w:val="center"/>
                    <w:rPr>
                      <w:color w:val="2F5496" w:themeColor="accent5" w:themeShade="BF"/>
                      <w:sz w:val="20"/>
                      <w:szCs w:val="20"/>
                    </w:rPr>
                  </w:pPr>
                  <w:r w:rsidRPr="00777D0B">
                    <w:rPr>
                      <w:color w:val="2F5496" w:themeColor="accent5" w:themeShade="BF"/>
                      <w:sz w:val="20"/>
                      <w:szCs w:val="20"/>
                    </w:rPr>
                    <w:t>Hasta 2 ocupantes</w:t>
                  </w:r>
                </w:p>
              </w:tc>
              <w:tc>
                <w:tcPr>
                  <w:tcW w:w="2124" w:type="dxa"/>
                  <w:vAlign w:val="center"/>
                </w:tcPr>
                <w:p w14:paraId="14FE6C5B" w14:textId="7F703209" w:rsidR="00020EF2" w:rsidRPr="00777D0B" w:rsidRDefault="00020EF2" w:rsidP="00020EF2">
                  <w:pPr>
                    <w:jc w:val="center"/>
                    <w:rPr>
                      <w:color w:val="2F5496" w:themeColor="accent5" w:themeShade="BF"/>
                      <w:sz w:val="20"/>
                      <w:szCs w:val="20"/>
                    </w:rPr>
                  </w:pPr>
                  <w:r w:rsidRPr="00777D0B">
                    <w:rPr>
                      <w:color w:val="2F5496" w:themeColor="accent5" w:themeShade="BF"/>
                      <w:sz w:val="20"/>
                      <w:szCs w:val="20"/>
                    </w:rPr>
                    <w:t>8 m</w:t>
                  </w:r>
                  <w:r w:rsidRPr="00777D0B">
                    <w:rPr>
                      <w:color w:val="2F5496" w:themeColor="accent5" w:themeShade="BF"/>
                      <w:sz w:val="20"/>
                      <w:szCs w:val="20"/>
                      <w:vertAlign w:val="superscript"/>
                    </w:rPr>
                    <w:t>2</w:t>
                  </w:r>
                </w:p>
              </w:tc>
              <w:tc>
                <w:tcPr>
                  <w:tcW w:w="2196" w:type="dxa"/>
                  <w:vAlign w:val="center"/>
                </w:tcPr>
                <w:p w14:paraId="7F8F9D05" w14:textId="44BD118F" w:rsidR="00020EF2" w:rsidRPr="00777D0B" w:rsidRDefault="00020EF2" w:rsidP="00020EF2">
                  <w:pPr>
                    <w:jc w:val="center"/>
                    <w:rPr>
                      <w:color w:val="2F5496" w:themeColor="accent5" w:themeShade="BF"/>
                      <w:sz w:val="20"/>
                      <w:szCs w:val="20"/>
                    </w:rPr>
                  </w:pPr>
                  <w:r w:rsidRPr="00777D0B">
                    <w:rPr>
                      <w:color w:val="2F5496" w:themeColor="accent5" w:themeShade="BF"/>
                      <w:sz w:val="20"/>
                      <w:szCs w:val="20"/>
                    </w:rPr>
                    <w:t>Longitud mínima de 2,80 m. en al menos 1 de sus lados.</w:t>
                  </w:r>
                </w:p>
              </w:tc>
            </w:tr>
            <w:tr w:rsidR="00020EF2" w:rsidRPr="00020EF2" w14:paraId="65867138" w14:textId="77777777" w:rsidTr="00367A46">
              <w:trPr>
                <w:trHeight w:val="533"/>
              </w:trPr>
              <w:tc>
                <w:tcPr>
                  <w:tcW w:w="1894" w:type="dxa"/>
                  <w:vAlign w:val="center"/>
                </w:tcPr>
                <w:p w14:paraId="4C76A848" w14:textId="4C7B4049" w:rsidR="00020EF2" w:rsidRPr="00777D0B" w:rsidRDefault="00020EF2" w:rsidP="00020EF2">
                  <w:pPr>
                    <w:jc w:val="center"/>
                    <w:rPr>
                      <w:color w:val="2F5496" w:themeColor="accent5" w:themeShade="BF"/>
                      <w:sz w:val="20"/>
                      <w:szCs w:val="20"/>
                    </w:rPr>
                  </w:pPr>
                  <w:r w:rsidRPr="00777D0B">
                    <w:rPr>
                      <w:color w:val="2F5496" w:themeColor="accent5" w:themeShade="BF"/>
                      <w:sz w:val="20"/>
                      <w:szCs w:val="20"/>
                    </w:rPr>
                    <w:t>3 o más ocupantes con un máximo de 6</w:t>
                  </w:r>
                </w:p>
              </w:tc>
              <w:tc>
                <w:tcPr>
                  <w:tcW w:w="2124" w:type="dxa"/>
                  <w:vAlign w:val="center"/>
                </w:tcPr>
                <w:p w14:paraId="7F22BC67" w14:textId="44532D85" w:rsidR="00020EF2" w:rsidRPr="00777D0B" w:rsidRDefault="00020EF2" w:rsidP="00020EF2">
                  <w:pPr>
                    <w:jc w:val="center"/>
                    <w:rPr>
                      <w:color w:val="2F5496" w:themeColor="accent5" w:themeShade="BF"/>
                      <w:sz w:val="20"/>
                      <w:szCs w:val="20"/>
                    </w:rPr>
                  </w:pPr>
                  <w:r w:rsidRPr="00777D0B">
                    <w:rPr>
                      <w:color w:val="2F5496" w:themeColor="accent5" w:themeShade="BF"/>
                      <w:sz w:val="20"/>
                      <w:szCs w:val="20"/>
                    </w:rPr>
                    <w:t>4 m</w:t>
                  </w:r>
                  <w:r w:rsidRPr="00777D0B">
                    <w:rPr>
                      <w:color w:val="2F5496" w:themeColor="accent5" w:themeShade="BF"/>
                      <w:sz w:val="20"/>
                      <w:szCs w:val="20"/>
                      <w:vertAlign w:val="superscript"/>
                    </w:rPr>
                    <w:t>2</w:t>
                  </w:r>
                  <w:r w:rsidRPr="00777D0B">
                    <w:rPr>
                      <w:color w:val="2F5496" w:themeColor="accent5" w:themeShade="BF"/>
                      <w:sz w:val="20"/>
                      <w:szCs w:val="20"/>
                    </w:rPr>
                    <w:t xml:space="preserve"> por cada ocupante.</w:t>
                  </w:r>
                </w:p>
              </w:tc>
              <w:tc>
                <w:tcPr>
                  <w:tcW w:w="2196" w:type="dxa"/>
                  <w:vAlign w:val="center"/>
                </w:tcPr>
                <w:p w14:paraId="72A2AAFC" w14:textId="721385A5" w:rsidR="00020EF2" w:rsidRPr="00777D0B" w:rsidRDefault="00020EF2" w:rsidP="00020EF2">
                  <w:pPr>
                    <w:jc w:val="center"/>
                    <w:rPr>
                      <w:color w:val="2F5496" w:themeColor="accent5" w:themeShade="BF"/>
                      <w:sz w:val="20"/>
                      <w:szCs w:val="20"/>
                    </w:rPr>
                  </w:pPr>
                  <w:r w:rsidRPr="00777D0B">
                    <w:rPr>
                      <w:color w:val="2F5496" w:themeColor="accent5" w:themeShade="BF"/>
                      <w:sz w:val="20"/>
                      <w:szCs w:val="20"/>
                    </w:rPr>
                    <w:t>Longitud mínima de 4 m. en al menos 1 de sus lados.</w:t>
                  </w:r>
                </w:p>
              </w:tc>
            </w:tr>
          </w:tbl>
          <w:p w14:paraId="7D886690" w14:textId="414CA320" w:rsidR="00020EF2" w:rsidRPr="00020EF2" w:rsidRDefault="00020EF2" w:rsidP="00ED1156">
            <w:pPr>
              <w:ind w:right="127"/>
              <w:jc w:val="both"/>
              <w:rPr>
                <w:rFonts w:cstheme="minorHAnsi"/>
                <w:bCs/>
                <w:color w:val="2F5496" w:themeColor="accent5" w:themeShade="BF"/>
                <w:sz w:val="20"/>
                <w:szCs w:val="20"/>
              </w:rPr>
            </w:pPr>
          </w:p>
          <w:p w14:paraId="04B1BFD5" w14:textId="4A2692A2" w:rsidR="006C73A6" w:rsidRPr="00367A46" w:rsidRDefault="00020EF2" w:rsidP="00367A46">
            <w:pPr>
              <w:tabs>
                <w:tab w:val="left" w:pos="1846"/>
                <w:tab w:val="left" w:pos="6133"/>
              </w:tabs>
              <w:spacing w:line="276" w:lineRule="auto"/>
              <w:ind w:left="179" w:right="177"/>
              <w:jc w:val="both"/>
              <w:rPr>
                <w:rFonts w:cstheme="minorHAnsi"/>
                <w:color w:val="2F5496" w:themeColor="accent5" w:themeShade="BF"/>
                <w:sz w:val="20"/>
                <w:szCs w:val="20"/>
              </w:rPr>
            </w:pPr>
            <w:r w:rsidRPr="001271A1">
              <w:rPr>
                <w:rFonts w:cstheme="minorHAnsi"/>
                <w:color w:val="2F5496" w:themeColor="accent5" w:themeShade="BF"/>
                <w:sz w:val="20"/>
                <w:szCs w:val="20"/>
              </w:rPr>
              <w:t xml:space="preserve">                                     Al menos el 30% de la superficie resultante de la pieza o habitación corresponderá a superficie libre, desprovista de mobiliario, para el libre desplazamiento al interior del recinto.</w:t>
            </w:r>
          </w:p>
        </w:tc>
        <w:tc>
          <w:tcPr>
            <w:tcW w:w="18711" w:type="dxa"/>
          </w:tcPr>
          <w:p w14:paraId="3219041B" w14:textId="77777777" w:rsidR="00445763" w:rsidRPr="004E04FE" w:rsidRDefault="00445763" w:rsidP="00ED1156">
            <w:pPr>
              <w:ind w:right="127"/>
              <w:jc w:val="both"/>
              <w:rPr>
                <w:rFonts w:cstheme="minorHAnsi"/>
                <w:bCs/>
                <w:sz w:val="20"/>
                <w:szCs w:val="20"/>
              </w:rPr>
            </w:pPr>
          </w:p>
        </w:tc>
      </w:tr>
      <w:tr w:rsidR="000F0C86" w:rsidRPr="00536FF3" w14:paraId="3A36825C" w14:textId="77777777" w:rsidTr="00367A46">
        <w:trPr>
          <w:trHeight w:val="290"/>
          <w:jc w:val="center"/>
        </w:trPr>
        <w:tc>
          <w:tcPr>
            <w:tcW w:w="18711" w:type="dxa"/>
            <w:vAlign w:val="center"/>
          </w:tcPr>
          <w:p w14:paraId="675BC1BD" w14:textId="623606D7" w:rsidR="00445763" w:rsidRDefault="0013561C" w:rsidP="0013561C">
            <w:pPr>
              <w:jc w:val="center"/>
              <w:rPr>
                <w:rFonts w:cstheme="minorHAnsi"/>
                <w:b/>
                <w:bCs/>
                <w:sz w:val="20"/>
                <w:szCs w:val="20"/>
              </w:rPr>
            </w:pPr>
            <w:r>
              <w:rPr>
                <w:rFonts w:cstheme="minorHAnsi"/>
                <w:b/>
                <w:bCs/>
                <w:sz w:val="20"/>
                <w:szCs w:val="20"/>
              </w:rPr>
              <w:lastRenderedPageBreak/>
              <w:t>-</w:t>
            </w:r>
          </w:p>
        </w:tc>
        <w:tc>
          <w:tcPr>
            <w:tcW w:w="18711" w:type="dxa"/>
          </w:tcPr>
          <w:p w14:paraId="29F231DD" w14:textId="3B1A5D7E" w:rsidR="008C20B7" w:rsidRPr="008C20B7" w:rsidRDefault="008C20B7" w:rsidP="00031D48">
            <w:pPr>
              <w:tabs>
                <w:tab w:val="left" w:pos="6133"/>
              </w:tabs>
              <w:spacing w:before="120" w:line="276" w:lineRule="auto"/>
              <w:ind w:left="181" w:right="176"/>
              <w:jc w:val="both"/>
              <w:rPr>
                <w:rFonts w:cstheme="minorHAnsi"/>
                <w:color w:val="2F5496" w:themeColor="accent5" w:themeShade="BF"/>
                <w:sz w:val="20"/>
                <w:szCs w:val="20"/>
              </w:rPr>
            </w:pPr>
            <w:r w:rsidRPr="00020EF2">
              <w:rPr>
                <w:rFonts w:cstheme="minorHAnsi"/>
                <w:b/>
                <w:color w:val="2F5496" w:themeColor="accent5" w:themeShade="BF"/>
                <w:sz w:val="20"/>
                <w:szCs w:val="20"/>
              </w:rPr>
              <w:t>Artículo 4.15.</w:t>
            </w:r>
            <w:r>
              <w:rPr>
                <w:rFonts w:cstheme="minorHAnsi"/>
                <w:b/>
                <w:color w:val="2F5496" w:themeColor="accent5" w:themeShade="BF"/>
                <w:sz w:val="20"/>
                <w:szCs w:val="20"/>
              </w:rPr>
              <w:t>6</w:t>
            </w:r>
            <w:r w:rsidRPr="00020EF2">
              <w:rPr>
                <w:rFonts w:cstheme="minorHAnsi"/>
                <w:b/>
                <w:color w:val="2F5496" w:themeColor="accent5" w:themeShade="BF"/>
                <w:sz w:val="20"/>
                <w:szCs w:val="20"/>
              </w:rPr>
              <w:t>.</w:t>
            </w:r>
            <w:r w:rsidRPr="00020EF2">
              <w:rPr>
                <w:rFonts w:cstheme="minorHAnsi"/>
                <w:color w:val="2F5496" w:themeColor="accent5" w:themeShade="BF"/>
                <w:sz w:val="20"/>
                <w:szCs w:val="20"/>
              </w:rPr>
              <w:t xml:space="preserve">      </w:t>
            </w:r>
            <w:r w:rsidR="00367A46">
              <w:rPr>
                <w:rFonts w:cstheme="minorHAnsi"/>
                <w:color w:val="2F5496" w:themeColor="accent5" w:themeShade="BF"/>
                <w:sz w:val="20"/>
                <w:szCs w:val="20"/>
              </w:rPr>
              <w:t xml:space="preserve">   </w:t>
            </w:r>
            <w:r w:rsidRPr="008C20B7">
              <w:rPr>
                <w:rFonts w:cstheme="minorHAnsi"/>
                <w:color w:val="2F5496" w:themeColor="accent5" w:themeShade="BF"/>
                <w:sz w:val="20"/>
                <w:szCs w:val="20"/>
              </w:rPr>
              <w:t>Las piezas o habitaciones y los recintos o espacios de uso común deberán además dar cumplimiento a los requisitos de dimensionamiento y habitabilidad que se indica a continuación:</w:t>
            </w:r>
          </w:p>
          <w:p w14:paraId="0D219CB3" w14:textId="42D6E1FF" w:rsidR="00777D0B" w:rsidRDefault="00777D0B" w:rsidP="00ED1156">
            <w:pPr>
              <w:ind w:right="127"/>
              <w:jc w:val="both"/>
              <w:rPr>
                <w:rFonts w:cstheme="minorHAnsi"/>
                <w:bCs/>
                <w:sz w:val="20"/>
                <w:szCs w:val="20"/>
              </w:rPr>
            </w:pPr>
          </w:p>
          <w:p w14:paraId="5AE86DB5" w14:textId="77777777" w:rsidR="008C20B7" w:rsidRPr="00641434" w:rsidRDefault="008C20B7" w:rsidP="008C20B7">
            <w:pPr>
              <w:tabs>
                <w:tab w:val="left" w:pos="1418"/>
              </w:tabs>
              <w:spacing w:after="120" w:line="312" w:lineRule="auto"/>
              <w:jc w:val="center"/>
              <w:rPr>
                <w:rFonts w:ascii="Verdana" w:hAnsi="Verdana"/>
                <w:b/>
                <w:color w:val="2F5496" w:themeColor="accent5" w:themeShade="BF"/>
                <w:sz w:val="20"/>
                <w:szCs w:val="20"/>
              </w:rPr>
            </w:pPr>
            <w:r w:rsidRPr="00641434">
              <w:rPr>
                <w:rFonts w:ascii="Verdana" w:hAnsi="Verdana"/>
                <w:b/>
                <w:color w:val="2F5496" w:themeColor="accent5" w:themeShade="BF"/>
                <w:sz w:val="20"/>
                <w:szCs w:val="20"/>
              </w:rPr>
              <w:t>REQUISITOS DE DIMENSIONAMIENTO Y HABITABILIDAD POR TIPO DE RECINTO</w:t>
            </w:r>
          </w:p>
          <w:tbl>
            <w:tblPr>
              <w:tblW w:w="6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6"/>
              <w:gridCol w:w="1419"/>
              <w:gridCol w:w="3458"/>
            </w:tblGrid>
            <w:tr w:rsidR="00641434" w:rsidRPr="00777D0B" w14:paraId="1EF53C50" w14:textId="77777777" w:rsidTr="00367A46">
              <w:trPr>
                <w:trHeight w:val="619"/>
              </w:trPr>
              <w:tc>
                <w:tcPr>
                  <w:tcW w:w="1326" w:type="dxa"/>
                  <w:vAlign w:val="center"/>
                </w:tcPr>
                <w:p w14:paraId="21C5B18A" w14:textId="77777777" w:rsidR="008C20B7" w:rsidRPr="00777D0B" w:rsidRDefault="008C20B7" w:rsidP="008C20B7">
                  <w:pPr>
                    <w:spacing w:after="0" w:line="240" w:lineRule="auto"/>
                    <w:jc w:val="center"/>
                    <w:rPr>
                      <w:rFonts w:cstheme="minorHAnsi"/>
                      <w:b/>
                      <w:color w:val="2F5496" w:themeColor="accent5" w:themeShade="BF"/>
                      <w:sz w:val="20"/>
                      <w:szCs w:val="20"/>
                    </w:rPr>
                  </w:pPr>
                  <w:r w:rsidRPr="00777D0B">
                    <w:rPr>
                      <w:rFonts w:cstheme="minorHAnsi"/>
                      <w:b/>
                      <w:color w:val="2F5496" w:themeColor="accent5" w:themeShade="BF"/>
                      <w:sz w:val="20"/>
                      <w:szCs w:val="20"/>
                    </w:rPr>
                    <w:t>Tipo de Recinto</w:t>
                  </w:r>
                </w:p>
              </w:tc>
              <w:tc>
                <w:tcPr>
                  <w:tcW w:w="1419" w:type="dxa"/>
                  <w:shd w:val="clear" w:color="auto" w:fill="auto"/>
                  <w:noWrap/>
                  <w:vAlign w:val="center"/>
                  <w:hideMark/>
                </w:tcPr>
                <w:p w14:paraId="3838CD7B" w14:textId="77777777" w:rsidR="008C20B7" w:rsidRPr="00777D0B" w:rsidRDefault="008C20B7" w:rsidP="008C20B7">
                  <w:pPr>
                    <w:spacing w:after="0" w:line="240" w:lineRule="auto"/>
                    <w:jc w:val="center"/>
                    <w:rPr>
                      <w:rFonts w:eastAsia="Times New Roman" w:cstheme="minorHAnsi"/>
                      <w:b/>
                      <w:color w:val="2F5496" w:themeColor="accent5" w:themeShade="BF"/>
                      <w:sz w:val="20"/>
                      <w:szCs w:val="20"/>
                      <w:lang w:eastAsia="es-CL"/>
                    </w:rPr>
                  </w:pPr>
                  <w:r w:rsidRPr="00777D0B">
                    <w:rPr>
                      <w:rFonts w:eastAsia="Times New Roman" w:cstheme="minorHAnsi"/>
                      <w:b/>
                      <w:color w:val="2F5496" w:themeColor="accent5" w:themeShade="BF"/>
                      <w:sz w:val="20"/>
                      <w:szCs w:val="20"/>
                      <w:lang w:eastAsia="es-CL"/>
                    </w:rPr>
                    <w:t>Requisito</w:t>
                  </w:r>
                </w:p>
              </w:tc>
              <w:tc>
                <w:tcPr>
                  <w:tcW w:w="3458" w:type="dxa"/>
                  <w:vAlign w:val="center"/>
                </w:tcPr>
                <w:p w14:paraId="762FB30F" w14:textId="77777777" w:rsidR="008C20B7" w:rsidRPr="00777D0B" w:rsidRDefault="008C20B7" w:rsidP="008C20B7">
                  <w:pPr>
                    <w:spacing w:after="0" w:line="240" w:lineRule="auto"/>
                    <w:jc w:val="center"/>
                    <w:rPr>
                      <w:rFonts w:eastAsia="Times New Roman" w:cstheme="minorHAnsi"/>
                      <w:b/>
                      <w:color w:val="2F5496" w:themeColor="accent5" w:themeShade="BF"/>
                      <w:sz w:val="20"/>
                      <w:szCs w:val="20"/>
                      <w:lang w:eastAsia="es-CL"/>
                    </w:rPr>
                  </w:pPr>
                  <w:r w:rsidRPr="00777D0B">
                    <w:rPr>
                      <w:rFonts w:eastAsia="Times New Roman" w:cstheme="minorHAnsi"/>
                      <w:b/>
                      <w:color w:val="2F5496" w:themeColor="accent5" w:themeShade="BF"/>
                      <w:sz w:val="20"/>
                      <w:szCs w:val="20"/>
                      <w:lang w:eastAsia="es-CL"/>
                    </w:rPr>
                    <w:t>Exigencia base o regla de incremento</w:t>
                  </w:r>
                </w:p>
              </w:tc>
            </w:tr>
            <w:tr w:rsidR="00641434" w:rsidRPr="00777D0B" w14:paraId="1253C7E5" w14:textId="77777777" w:rsidTr="00367A46">
              <w:trPr>
                <w:trHeight w:val="409"/>
              </w:trPr>
              <w:tc>
                <w:tcPr>
                  <w:tcW w:w="1326" w:type="dxa"/>
                  <w:vMerge w:val="restart"/>
                  <w:vAlign w:val="center"/>
                </w:tcPr>
                <w:p w14:paraId="41179843"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Pieza o Habitación</w:t>
                  </w:r>
                </w:p>
                <w:p w14:paraId="41391BF4"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(individual o colectiva)</w:t>
                  </w:r>
                </w:p>
              </w:tc>
              <w:tc>
                <w:tcPr>
                  <w:tcW w:w="1419" w:type="dxa"/>
                  <w:shd w:val="clear" w:color="auto" w:fill="auto"/>
                  <w:noWrap/>
                  <w:vAlign w:val="center"/>
                </w:tcPr>
                <w:p w14:paraId="46F242C5"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Cama</w:t>
                  </w:r>
                </w:p>
              </w:tc>
              <w:tc>
                <w:tcPr>
                  <w:tcW w:w="3458" w:type="dxa"/>
                  <w:vAlign w:val="center"/>
                </w:tcPr>
                <w:p w14:paraId="56F86551"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 xml:space="preserve">1 plaza por cada ocupante </w:t>
                  </w:r>
                </w:p>
              </w:tc>
            </w:tr>
            <w:tr w:rsidR="00641434" w:rsidRPr="00EB4C9A" w14:paraId="6722A868" w14:textId="77777777" w:rsidTr="00367A46">
              <w:trPr>
                <w:trHeight w:val="409"/>
              </w:trPr>
              <w:tc>
                <w:tcPr>
                  <w:tcW w:w="1326" w:type="dxa"/>
                  <w:vMerge/>
                  <w:vAlign w:val="center"/>
                </w:tcPr>
                <w:p w14:paraId="33284C26"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eastAsia="es-CL"/>
                    </w:rPr>
                  </w:pPr>
                </w:p>
              </w:tc>
              <w:tc>
                <w:tcPr>
                  <w:tcW w:w="1419" w:type="dxa"/>
                  <w:shd w:val="clear" w:color="auto" w:fill="auto"/>
                  <w:noWrap/>
                  <w:vAlign w:val="center"/>
                </w:tcPr>
                <w:p w14:paraId="2BFE0ADF"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Closet</w:t>
                  </w:r>
                </w:p>
              </w:tc>
              <w:tc>
                <w:tcPr>
                  <w:tcW w:w="3458" w:type="dxa"/>
                  <w:vAlign w:val="center"/>
                </w:tcPr>
                <w:p w14:paraId="4BF3E846" w14:textId="77777777" w:rsidR="008C20B7" w:rsidRPr="00777D0B" w:rsidRDefault="008C20B7" w:rsidP="008C20B7">
                  <w:pPr>
                    <w:spacing w:after="0" w:line="240" w:lineRule="auto"/>
                    <w:rPr>
                      <w:rFonts w:eastAsia="Times New Roman" w:cstheme="minorHAnsi"/>
                      <w:color w:val="2F5496" w:themeColor="accent5" w:themeShade="BF"/>
                      <w:sz w:val="20"/>
                      <w:szCs w:val="20"/>
                      <w:lang w:val="pt-PT" w:eastAsia="es-CL"/>
                    </w:rPr>
                  </w:pPr>
                  <w:r w:rsidRPr="00777D0B">
                    <w:rPr>
                      <w:rFonts w:eastAsia="Times New Roman" w:cstheme="minorHAnsi"/>
                      <w:color w:val="2F5496" w:themeColor="accent5" w:themeShade="BF"/>
                      <w:sz w:val="20"/>
                      <w:szCs w:val="20"/>
                      <w:lang w:val="pt-PT" w:eastAsia="es-CL"/>
                    </w:rPr>
                    <w:t>0,6m x 0,6m x 1,80m por cada ocupante</w:t>
                  </w:r>
                </w:p>
              </w:tc>
            </w:tr>
            <w:tr w:rsidR="00641434" w:rsidRPr="00777D0B" w14:paraId="6D73BC0B" w14:textId="77777777" w:rsidTr="00367A46">
              <w:trPr>
                <w:trHeight w:val="409"/>
              </w:trPr>
              <w:tc>
                <w:tcPr>
                  <w:tcW w:w="1326" w:type="dxa"/>
                  <w:vMerge/>
                  <w:vAlign w:val="center"/>
                </w:tcPr>
                <w:p w14:paraId="37A39BF6"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val="pt-PT" w:eastAsia="es-CL"/>
                    </w:rPr>
                  </w:pPr>
                </w:p>
              </w:tc>
              <w:tc>
                <w:tcPr>
                  <w:tcW w:w="1419" w:type="dxa"/>
                  <w:shd w:val="clear" w:color="auto" w:fill="auto"/>
                  <w:noWrap/>
                  <w:vAlign w:val="center"/>
                </w:tcPr>
                <w:p w14:paraId="1AA301B7"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Velador</w:t>
                  </w:r>
                </w:p>
              </w:tc>
              <w:tc>
                <w:tcPr>
                  <w:tcW w:w="3458" w:type="dxa"/>
                  <w:vAlign w:val="center"/>
                </w:tcPr>
                <w:p w14:paraId="7A8578AF" w14:textId="4E374B2B" w:rsidR="008C20B7" w:rsidRPr="00777D0B" w:rsidRDefault="008C20B7" w:rsidP="00842FBC">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1 por cada 2 ocupantes</w:t>
                  </w:r>
                  <w:r w:rsidR="00842FBC">
                    <w:rPr>
                      <w:rFonts w:eastAsia="Times New Roman" w:cstheme="minorHAnsi"/>
                      <w:color w:val="2F5496" w:themeColor="accent5" w:themeShade="BF"/>
                      <w:sz w:val="20"/>
                      <w:szCs w:val="20"/>
                      <w:lang w:eastAsia="es-CL"/>
                    </w:rPr>
                    <w:t>, con un mínimo de 1.</w:t>
                  </w:r>
                </w:p>
              </w:tc>
            </w:tr>
            <w:tr w:rsidR="00641434" w:rsidRPr="00777D0B" w14:paraId="4908643F" w14:textId="77777777" w:rsidTr="00367A46">
              <w:trPr>
                <w:trHeight w:val="409"/>
              </w:trPr>
              <w:tc>
                <w:tcPr>
                  <w:tcW w:w="1326" w:type="dxa"/>
                  <w:vMerge/>
                  <w:vAlign w:val="center"/>
                </w:tcPr>
                <w:p w14:paraId="0C01F68C"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eastAsia="es-CL"/>
                    </w:rPr>
                  </w:pPr>
                </w:p>
              </w:tc>
              <w:tc>
                <w:tcPr>
                  <w:tcW w:w="1419" w:type="dxa"/>
                  <w:shd w:val="clear" w:color="auto" w:fill="auto"/>
                  <w:noWrap/>
                  <w:vAlign w:val="center"/>
                </w:tcPr>
                <w:p w14:paraId="425C18C6"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 xml:space="preserve">mesa o escritorio </w:t>
                  </w:r>
                </w:p>
              </w:tc>
              <w:tc>
                <w:tcPr>
                  <w:tcW w:w="3458" w:type="dxa"/>
                  <w:vAlign w:val="center"/>
                </w:tcPr>
                <w:p w14:paraId="622F3B72" w14:textId="63430BB9" w:rsidR="008C20B7" w:rsidRPr="00777D0B" w:rsidRDefault="008C20B7" w:rsidP="00842FBC">
                  <w:pPr>
                    <w:spacing w:after="0" w:line="240" w:lineRule="auto"/>
                    <w:rPr>
                      <w:rFonts w:ascii="Verdana" w:eastAsia="Times New Roman" w:hAnsi="Verdana" w:cs="Calibr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 xml:space="preserve">0,60m x 1,20m por habitación (en habitaciones </w:t>
                  </w:r>
                  <w:r w:rsidR="00842FBC">
                    <w:rPr>
                      <w:rFonts w:eastAsia="Times New Roman" w:cstheme="minorHAnsi"/>
                      <w:color w:val="2F5496" w:themeColor="accent5" w:themeShade="BF"/>
                      <w:sz w:val="20"/>
                      <w:szCs w:val="20"/>
                      <w:lang w:eastAsia="es-CL"/>
                    </w:rPr>
                    <w:t>para</w:t>
                  </w:r>
                  <w:r w:rsidRPr="00777D0B">
                    <w:rPr>
                      <w:rFonts w:eastAsia="Times New Roman" w:cstheme="minorHAnsi"/>
                      <w:color w:val="2F5496" w:themeColor="accent5" w:themeShade="BF"/>
                      <w:sz w:val="20"/>
                      <w:szCs w:val="20"/>
                      <w:lang w:eastAsia="es-CL"/>
                    </w:rPr>
                    <w:t xml:space="preserve"> 3 o más ocupantes)</w:t>
                  </w:r>
                </w:p>
              </w:tc>
            </w:tr>
            <w:tr w:rsidR="00641434" w:rsidRPr="00777D0B" w14:paraId="5075DBB2" w14:textId="77777777" w:rsidTr="00367A46">
              <w:trPr>
                <w:trHeight w:val="409"/>
              </w:trPr>
              <w:tc>
                <w:tcPr>
                  <w:tcW w:w="1326" w:type="dxa"/>
                  <w:vMerge w:val="restart"/>
                  <w:vAlign w:val="center"/>
                </w:tcPr>
                <w:p w14:paraId="61FAAAF0"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Servicios Higiénicos</w:t>
                  </w:r>
                </w:p>
                <w:p w14:paraId="687CA229"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(compartidos)</w:t>
                  </w:r>
                </w:p>
              </w:tc>
              <w:tc>
                <w:tcPr>
                  <w:tcW w:w="1419" w:type="dxa"/>
                  <w:shd w:val="clear" w:color="auto" w:fill="auto"/>
                  <w:noWrap/>
                  <w:vAlign w:val="center"/>
                  <w:hideMark/>
                </w:tcPr>
                <w:p w14:paraId="1065EB18"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Inodoro</w:t>
                  </w:r>
                </w:p>
              </w:tc>
              <w:tc>
                <w:tcPr>
                  <w:tcW w:w="3458" w:type="dxa"/>
                  <w:vAlign w:val="center"/>
                </w:tcPr>
                <w:p w14:paraId="30F8B649" w14:textId="62320B64"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1 por cada 6 ocupantes</w:t>
                  </w:r>
                  <w:r w:rsidR="00842FBC">
                    <w:rPr>
                      <w:rFonts w:eastAsia="Times New Roman" w:cstheme="minorHAnsi"/>
                      <w:color w:val="2F5496" w:themeColor="accent5" w:themeShade="BF"/>
                      <w:sz w:val="20"/>
                      <w:szCs w:val="20"/>
                      <w:lang w:eastAsia="es-CL"/>
                    </w:rPr>
                    <w:t xml:space="preserve">, con un mínimo </w:t>
                  </w:r>
                  <w:r w:rsidR="00715885">
                    <w:rPr>
                      <w:rFonts w:eastAsia="Times New Roman" w:cstheme="minorHAnsi"/>
                      <w:color w:val="2F5496" w:themeColor="accent5" w:themeShade="BF"/>
                      <w:sz w:val="20"/>
                      <w:szCs w:val="20"/>
                      <w:lang w:eastAsia="es-CL"/>
                    </w:rPr>
                    <w:t>d</w:t>
                  </w:r>
                  <w:r w:rsidR="00842FBC">
                    <w:rPr>
                      <w:rFonts w:eastAsia="Times New Roman" w:cstheme="minorHAnsi"/>
                      <w:color w:val="2F5496" w:themeColor="accent5" w:themeShade="BF"/>
                      <w:sz w:val="20"/>
                      <w:szCs w:val="20"/>
                      <w:lang w:eastAsia="es-CL"/>
                    </w:rPr>
                    <w:t>e 1.</w:t>
                  </w:r>
                </w:p>
              </w:tc>
            </w:tr>
            <w:tr w:rsidR="00641434" w:rsidRPr="00777D0B" w14:paraId="3A65D886" w14:textId="77777777" w:rsidTr="00367A46">
              <w:trPr>
                <w:trHeight w:val="409"/>
              </w:trPr>
              <w:tc>
                <w:tcPr>
                  <w:tcW w:w="1326" w:type="dxa"/>
                  <w:vMerge/>
                  <w:vAlign w:val="center"/>
                </w:tcPr>
                <w:p w14:paraId="547A18F3"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eastAsia="es-CL"/>
                    </w:rPr>
                  </w:pPr>
                </w:p>
              </w:tc>
              <w:tc>
                <w:tcPr>
                  <w:tcW w:w="1419" w:type="dxa"/>
                  <w:shd w:val="clear" w:color="auto" w:fill="auto"/>
                  <w:noWrap/>
                  <w:vAlign w:val="center"/>
                  <w:hideMark/>
                </w:tcPr>
                <w:p w14:paraId="6B1C0195"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Lavamanos</w:t>
                  </w:r>
                </w:p>
              </w:tc>
              <w:tc>
                <w:tcPr>
                  <w:tcW w:w="3458" w:type="dxa"/>
                  <w:vAlign w:val="center"/>
                </w:tcPr>
                <w:p w14:paraId="2C75B322" w14:textId="66163524" w:rsidR="008C20B7" w:rsidRPr="00777D0B" w:rsidRDefault="008C20B7" w:rsidP="00715885">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1 hasta 6 ocupantes y 1 lavamanos adicional por cada 8 ocupantes</w:t>
                  </w:r>
                  <w:r w:rsidR="00715885">
                    <w:rPr>
                      <w:rFonts w:eastAsia="Times New Roman" w:cstheme="minorHAnsi"/>
                      <w:color w:val="2F5496" w:themeColor="accent5" w:themeShade="BF"/>
                      <w:sz w:val="20"/>
                      <w:szCs w:val="20"/>
                      <w:lang w:eastAsia="es-CL"/>
                    </w:rPr>
                    <w:t>.</w:t>
                  </w:r>
                  <w:r w:rsidRPr="00777D0B">
                    <w:rPr>
                      <w:rFonts w:eastAsia="Times New Roman" w:cstheme="minorHAnsi"/>
                      <w:color w:val="2F5496" w:themeColor="accent5" w:themeShade="BF"/>
                      <w:sz w:val="20"/>
                      <w:szCs w:val="20"/>
                      <w:lang w:eastAsia="es-CL"/>
                    </w:rPr>
                    <w:t xml:space="preserve"> </w:t>
                  </w:r>
                </w:p>
              </w:tc>
            </w:tr>
            <w:tr w:rsidR="00641434" w:rsidRPr="00777D0B" w14:paraId="618B89B0" w14:textId="77777777" w:rsidTr="00367A46">
              <w:trPr>
                <w:trHeight w:val="409"/>
              </w:trPr>
              <w:tc>
                <w:tcPr>
                  <w:tcW w:w="1326" w:type="dxa"/>
                  <w:vMerge/>
                  <w:vAlign w:val="center"/>
                </w:tcPr>
                <w:p w14:paraId="703056DB"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eastAsia="es-CL"/>
                    </w:rPr>
                  </w:pPr>
                </w:p>
              </w:tc>
              <w:tc>
                <w:tcPr>
                  <w:tcW w:w="1419" w:type="dxa"/>
                  <w:shd w:val="clear" w:color="auto" w:fill="auto"/>
                  <w:noWrap/>
                  <w:vAlign w:val="center"/>
                  <w:hideMark/>
                </w:tcPr>
                <w:p w14:paraId="09810905"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Tina o receptáculo</w:t>
                  </w:r>
                </w:p>
              </w:tc>
              <w:tc>
                <w:tcPr>
                  <w:tcW w:w="3458" w:type="dxa"/>
                  <w:vAlign w:val="center"/>
                </w:tcPr>
                <w:p w14:paraId="3643C93A" w14:textId="4DED0C68" w:rsidR="008C20B7" w:rsidRPr="00777D0B" w:rsidRDefault="008C20B7" w:rsidP="00715885">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 xml:space="preserve">2 hasta 10 ocupantes y 1 tina o </w:t>
                  </w:r>
                  <w:r w:rsidR="00715885">
                    <w:rPr>
                      <w:rFonts w:eastAsia="Times New Roman" w:cstheme="minorHAnsi"/>
                      <w:color w:val="2F5496" w:themeColor="accent5" w:themeShade="BF"/>
                      <w:sz w:val="20"/>
                      <w:szCs w:val="20"/>
                      <w:lang w:eastAsia="es-CL"/>
                    </w:rPr>
                    <w:t>receptáculo adicional por cada 5 ocupantes.</w:t>
                  </w:r>
                </w:p>
              </w:tc>
            </w:tr>
            <w:tr w:rsidR="00641434" w:rsidRPr="00777D0B" w14:paraId="611F5CBD" w14:textId="77777777" w:rsidTr="00367A46">
              <w:trPr>
                <w:trHeight w:val="409"/>
              </w:trPr>
              <w:tc>
                <w:tcPr>
                  <w:tcW w:w="1326" w:type="dxa"/>
                  <w:vMerge w:val="restart"/>
                  <w:vAlign w:val="center"/>
                </w:tcPr>
                <w:p w14:paraId="29759A7B"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Cocina</w:t>
                  </w:r>
                </w:p>
              </w:tc>
              <w:tc>
                <w:tcPr>
                  <w:tcW w:w="1419" w:type="dxa"/>
                  <w:shd w:val="clear" w:color="auto" w:fill="auto"/>
                  <w:noWrap/>
                  <w:vAlign w:val="center"/>
                </w:tcPr>
                <w:p w14:paraId="1FB4192F"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Lavaplatos</w:t>
                  </w:r>
                </w:p>
              </w:tc>
              <w:tc>
                <w:tcPr>
                  <w:tcW w:w="3458" w:type="dxa"/>
                  <w:vAlign w:val="center"/>
                </w:tcPr>
                <w:p w14:paraId="5B36D1E6" w14:textId="50147023"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1 por cada 12 ocupantes con un mínimo de 1</w:t>
                  </w:r>
                  <w:r w:rsidR="00715885">
                    <w:rPr>
                      <w:rFonts w:eastAsia="Times New Roman" w:cstheme="minorHAnsi"/>
                      <w:color w:val="2F5496" w:themeColor="accent5" w:themeShade="BF"/>
                      <w:sz w:val="20"/>
                      <w:szCs w:val="20"/>
                      <w:lang w:eastAsia="es-CL"/>
                    </w:rPr>
                    <w:t>.</w:t>
                  </w:r>
                </w:p>
              </w:tc>
            </w:tr>
            <w:tr w:rsidR="00641434" w:rsidRPr="00777D0B" w14:paraId="70859A98" w14:textId="77777777" w:rsidTr="00367A46">
              <w:trPr>
                <w:trHeight w:val="409"/>
              </w:trPr>
              <w:tc>
                <w:tcPr>
                  <w:tcW w:w="1326" w:type="dxa"/>
                  <w:vMerge/>
                  <w:vAlign w:val="center"/>
                </w:tcPr>
                <w:p w14:paraId="0B35A5FD"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eastAsia="es-CL"/>
                    </w:rPr>
                  </w:pPr>
                </w:p>
              </w:tc>
              <w:tc>
                <w:tcPr>
                  <w:tcW w:w="1419" w:type="dxa"/>
                  <w:shd w:val="clear" w:color="auto" w:fill="auto"/>
                  <w:noWrap/>
                  <w:vAlign w:val="center"/>
                </w:tcPr>
                <w:p w14:paraId="242DA0E5"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Cocina (dos quemadores)</w:t>
                  </w:r>
                </w:p>
              </w:tc>
              <w:tc>
                <w:tcPr>
                  <w:tcW w:w="3458" w:type="dxa"/>
                  <w:vAlign w:val="center"/>
                </w:tcPr>
                <w:p w14:paraId="05823DB2" w14:textId="70B0E82F" w:rsidR="008C20B7" w:rsidRPr="00777D0B" w:rsidRDefault="00715885" w:rsidP="00715885">
                  <w:pPr>
                    <w:spacing w:after="0" w:line="240" w:lineRule="auto"/>
                    <w:rPr>
                      <w:rFonts w:eastAsia="Times New Roman" w:cstheme="minorHAnsi"/>
                      <w:color w:val="2F5496" w:themeColor="accent5" w:themeShade="BF"/>
                      <w:sz w:val="20"/>
                      <w:szCs w:val="20"/>
                      <w:lang w:eastAsia="es-CL"/>
                    </w:rPr>
                  </w:pPr>
                  <w:r>
                    <w:rPr>
                      <w:rFonts w:eastAsia="Times New Roman" w:cstheme="minorHAnsi"/>
                      <w:color w:val="2F5496" w:themeColor="accent5" w:themeShade="BF"/>
                      <w:sz w:val="20"/>
                      <w:szCs w:val="20"/>
                      <w:lang w:eastAsia="es-CL"/>
                    </w:rPr>
                    <w:t>1 por cada 4</w:t>
                  </w:r>
                  <w:r w:rsidR="008C20B7" w:rsidRPr="00777D0B">
                    <w:rPr>
                      <w:rFonts w:eastAsia="Times New Roman" w:cstheme="minorHAnsi"/>
                      <w:color w:val="2F5496" w:themeColor="accent5" w:themeShade="BF"/>
                      <w:sz w:val="20"/>
                      <w:szCs w:val="20"/>
                      <w:lang w:eastAsia="es-CL"/>
                    </w:rPr>
                    <w:t xml:space="preserve"> ocupantes con un mínimo de 1</w:t>
                  </w:r>
                  <w:r>
                    <w:rPr>
                      <w:rFonts w:eastAsia="Times New Roman" w:cstheme="minorHAnsi"/>
                      <w:color w:val="2F5496" w:themeColor="accent5" w:themeShade="BF"/>
                      <w:sz w:val="20"/>
                      <w:szCs w:val="20"/>
                      <w:lang w:eastAsia="es-CL"/>
                    </w:rPr>
                    <w:t>.</w:t>
                  </w:r>
                </w:p>
              </w:tc>
            </w:tr>
            <w:tr w:rsidR="00641434" w:rsidRPr="00777D0B" w14:paraId="44B12FF5" w14:textId="77777777" w:rsidTr="00367A46">
              <w:trPr>
                <w:trHeight w:val="409"/>
              </w:trPr>
              <w:tc>
                <w:tcPr>
                  <w:tcW w:w="1326" w:type="dxa"/>
                  <w:vMerge/>
                  <w:vAlign w:val="center"/>
                </w:tcPr>
                <w:p w14:paraId="5088BD9E"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eastAsia="es-CL"/>
                    </w:rPr>
                  </w:pPr>
                </w:p>
              </w:tc>
              <w:tc>
                <w:tcPr>
                  <w:tcW w:w="1419" w:type="dxa"/>
                  <w:shd w:val="clear" w:color="auto" w:fill="auto"/>
                  <w:noWrap/>
                  <w:vAlign w:val="center"/>
                </w:tcPr>
                <w:p w14:paraId="28DF2EBE"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Horno</w:t>
                  </w:r>
                </w:p>
              </w:tc>
              <w:tc>
                <w:tcPr>
                  <w:tcW w:w="3458" w:type="dxa"/>
                  <w:vAlign w:val="center"/>
                </w:tcPr>
                <w:p w14:paraId="1510E86C" w14:textId="5E4BB379"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1 por cada 12 ocupantes con un mínimo de 1</w:t>
                  </w:r>
                  <w:r w:rsidR="00715885">
                    <w:rPr>
                      <w:rFonts w:eastAsia="Times New Roman" w:cstheme="minorHAnsi"/>
                      <w:color w:val="2F5496" w:themeColor="accent5" w:themeShade="BF"/>
                      <w:sz w:val="20"/>
                      <w:szCs w:val="20"/>
                      <w:lang w:eastAsia="es-CL"/>
                    </w:rPr>
                    <w:t>.</w:t>
                  </w:r>
                </w:p>
              </w:tc>
            </w:tr>
            <w:tr w:rsidR="00641434" w:rsidRPr="00777D0B" w14:paraId="0EE24B1E" w14:textId="77777777" w:rsidTr="00367A46">
              <w:trPr>
                <w:trHeight w:val="409"/>
              </w:trPr>
              <w:tc>
                <w:tcPr>
                  <w:tcW w:w="1326" w:type="dxa"/>
                  <w:vMerge/>
                  <w:vAlign w:val="center"/>
                </w:tcPr>
                <w:p w14:paraId="5C8990BC"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eastAsia="es-CL"/>
                    </w:rPr>
                  </w:pPr>
                </w:p>
              </w:tc>
              <w:tc>
                <w:tcPr>
                  <w:tcW w:w="1419" w:type="dxa"/>
                  <w:shd w:val="clear" w:color="auto" w:fill="auto"/>
                  <w:noWrap/>
                  <w:vAlign w:val="center"/>
                </w:tcPr>
                <w:p w14:paraId="2482681F"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Refrigerador</w:t>
                  </w:r>
                </w:p>
              </w:tc>
              <w:tc>
                <w:tcPr>
                  <w:tcW w:w="3458" w:type="dxa"/>
                  <w:vAlign w:val="center"/>
                </w:tcPr>
                <w:p w14:paraId="39E12F59" w14:textId="143BF98E" w:rsidR="008C20B7" w:rsidRPr="00777D0B" w:rsidRDefault="00715885" w:rsidP="00715885">
                  <w:pPr>
                    <w:spacing w:after="0" w:line="240" w:lineRule="auto"/>
                    <w:jc w:val="both"/>
                    <w:rPr>
                      <w:rFonts w:eastAsia="Times New Roman" w:cstheme="minorHAnsi"/>
                      <w:color w:val="2F5496" w:themeColor="accent5" w:themeShade="BF"/>
                      <w:sz w:val="20"/>
                      <w:szCs w:val="20"/>
                      <w:lang w:eastAsia="es-CL"/>
                    </w:rPr>
                  </w:pPr>
                  <w:r>
                    <w:rPr>
                      <w:rFonts w:eastAsia="Times New Roman" w:cstheme="minorHAnsi"/>
                      <w:color w:val="2F5496" w:themeColor="accent5" w:themeShade="BF"/>
                      <w:sz w:val="20"/>
                      <w:szCs w:val="20"/>
                      <w:lang w:eastAsia="es-CL"/>
                    </w:rPr>
                    <w:t>3</w:t>
                  </w:r>
                  <w:r w:rsidR="008C20B7" w:rsidRPr="00777D0B">
                    <w:rPr>
                      <w:rFonts w:eastAsia="Times New Roman" w:cstheme="minorHAnsi"/>
                      <w:color w:val="2F5496" w:themeColor="accent5" w:themeShade="BF"/>
                      <w:sz w:val="20"/>
                      <w:szCs w:val="20"/>
                      <w:lang w:eastAsia="es-CL"/>
                    </w:rPr>
                    <w:t>0lts por cada ocupante con un mínimo de 1 refrigerador de 180lts.</w:t>
                  </w:r>
                </w:p>
              </w:tc>
            </w:tr>
            <w:tr w:rsidR="00641434" w:rsidRPr="00777D0B" w14:paraId="2A2D06BC" w14:textId="77777777" w:rsidTr="00367A46">
              <w:trPr>
                <w:trHeight w:val="819"/>
              </w:trPr>
              <w:tc>
                <w:tcPr>
                  <w:tcW w:w="1326" w:type="dxa"/>
                  <w:vMerge/>
                  <w:vAlign w:val="center"/>
                </w:tcPr>
                <w:p w14:paraId="1A6872F3"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eastAsia="es-CL"/>
                    </w:rPr>
                  </w:pPr>
                </w:p>
              </w:tc>
              <w:tc>
                <w:tcPr>
                  <w:tcW w:w="1419" w:type="dxa"/>
                  <w:shd w:val="clear" w:color="auto" w:fill="auto"/>
                  <w:noWrap/>
                  <w:vAlign w:val="center"/>
                </w:tcPr>
                <w:p w14:paraId="340E9ED5"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Mesón</w:t>
                  </w:r>
                </w:p>
              </w:tc>
              <w:tc>
                <w:tcPr>
                  <w:tcW w:w="3458" w:type="dxa"/>
                  <w:vAlign w:val="center"/>
                </w:tcPr>
                <w:p w14:paraId="2FF020F4"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1,20m hasta 6 ocupantes, 1,20m por cada 6 ocupantes adicionales hasta enterar un 15% de la carga de ocupación del inmueble.</w:t>
                  </w:r>
                </w:p>
              </w:tc>
            </w:tr>
            <w:tr w:rsidR="00641434" w:rsidRPr="00777D0B" w14:paraId="77C749AA" w14:textId="77777777" w:rsidTr="00367A46">
              <w:trPr>
                <w:trHeight w:val="584"/>
              </w:trPr>
              <w:tc>
                <w:tcPr>
                  <w:tcW w:w="1326" w:type="dxa"/>
                  <w:vAlign w:val="center"/>
                </w:tcPr>
                <w:p w14:paraId="1C6828D3"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Comedor</w:t>
                  </w:r>
                </w:p>
              </w:tc>
              <w:tc>
                <w:tcPr>
                  <w:tcW w:w="1419" w:type="dxa"/>
                  <w:shd w:val="clear" w:color="auto" w:fill="auto"/>
                  <w:noWrap/>
                  <w:vAlign w:val="center"/>
                </w:tcPr>
                <w:p w14:paraId="62F2E7EA"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Comedor/es</w:t>
                  </w:r>
                </w:p>
              </w:tc>
              <w:tc>
                <w:tcPr>
                  <w:tcW w:w="3458" w:type="dxa"/>
                  <w:vAlign w:val="center"/>
                </w:tcPr>
                <w:p w14:paraId="1BB7DDDE"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Con capacidad de albergar al menos un 20% de la carga de ocupación del inmueble.</w:t>
                  </w:r>
                </w:p>
              </w:tc>
            </w:tr>
            <w:tr w:rsidR="00641434" w:rsidRPr="00777D0B" w14:paraId="3CD441E4" w14:textId="77777777" w:rsidTr="00367A46">
              <w:trPr>
                <w:trHeight w:val="409"/>
              </w:trPr>
              <w:tc>
                <w:tcPr>
                  <w:tcW w:w="1326" w:type="dxa"/>
                  <w:vMerge w:val="restart"/>
                  <w:vAlign w:val="center"/>
                </w:tcPr>
                <w:p w14:paraId="3361EB8E"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Lavandería</w:t>
                  </w:r>
                </w:p>
              </w:tc>
              <w:tc>
                <w:tcPr>
                  <w:tcW w:w="1419" w:type="dxa"/>
                  <w:shd w:val="clear" w:color="auto" w:fill="auto"/>
                  <w:noWrap/>
                  <w:vAlign w:val="center"/>
                </w:tcPr>
                <w:p w14:paraId="4E967689"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Lavadero</w:t>
                  </w:r>
                </w:p>
              </w:tc>
              <w:tc>
                <w:tcPr>
                  <w:tcW w:w="3458" w:type="dxa"/>
                  <w:vAlign w:val="center"/>
                </w:tcPr>
                <w:p w14:paraId="7D4E3856" w14:textId="385FC914"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1 por cada 30 ocupantes con un mínimo de 1</w:t>
                  </w:r>
                  <w:r w:rsidR="000073D7">
                    <w:rPr>
                      <w:rFonts w:eastAsia="Times New Roman" w:cstheme="minorHAnsi"/>
                      <w:color w:val="2F5496" w:themeColor="accent5" w:themeShade="BF"/>
                      <w:sz w:val="20"/>
                      <w:szCs w:val="20"/>
                      <w:lang w:eastAsia="es-CL"/>
                    </w:rPr>
                    <w:t>.</w:t>
                  </w:r>
                </w:p>
              </w:tc>
            </w:tr>
            <w:tr w:rsidR="00641434" w:rsidRPr="00777D0B" w14:paraId="42185EB4" w14:textId="77777777" w:rsidTr="00367A46">
              <w:trPr>
                <w:trHeight w:val="409"/>
              </w:trPr>
              <w:tc>
                <w:tcPr>
                  <w:tcW w:w="1326" w:type="dxa"/>
                  <w:vMerge/>
                  <w:vAlign w:val="center"/>
                </w:tcPr>
                <w:p w14:paraId="35F08B0A"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eastAsia="es-CL"/>
                    </w:rPr>
                  </w:pPr>
                </w:p>
              </w:tc>
              <w:tc>
                <w:tcPr>
                  <w:tcW w:w="1419" w:type="dxa"/>
                  <w:shd w:val="clear" w:color="auto" w:fill="auto"/>
                  <w:noWrap/>
                  <w:vAlign w:val="center"/>
                </w:tcPr>
                <w:p w14:paraId="6812D5D9"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Máquina lavadora</w:t>
                  </w:r>
                </w:p>
              </w:tc>
              <w:tc>
                <w:tcPr>
                  <w:tcW w:w="3458" w:type="dxa"/>
                  <w:vAlign w:val="center"/>
                </w:tcPr>
                <w:p w14:paraId="35A2D028" w14:textId="6574081D" w:rsidR="008C20B7" w:rsidRPr="00777D0B" w:rsidRDefault="000073D7" w:rsidP="000073D7">
                  <w:pPr>
                    <w:spacing w:after="0" w:line="240" w:lineRule="auto"/>
                    <w:rPr>
                      <w:rFonts w:eastAsia="Times New Roman" w:cstheme="minorHAnsi"/>
                      <w:color w:val="2F5496" w:themeColor="accent5" w:themeShade="BF"/>
                      <w:sz w:val="20"/>
                      <w:szCs w:val="20"/>
                      <w:lang w:eastAsia="es-CL"/>
                    </w:rPr>
                  </w:pPr>
                  <w:r>
                    <w:rPr>
                      <w:rFonts w:eastAsia="Times New Roman" w:cstheme="minorHAnsi"/>
                      <w:color w:val="2F5496" w:themeColor="accent5" w:themeShade="BF"/>
                      <w:sz w:val="20"/>
                      <w:szCs w:val="20"/>
                      <w:lang w:eastAsia="es-CL"/>
                    </w:rPr>
                    <w:t>1 por cada 30 ocupantes.</w:t>
                  </w:r>
                </w:p>
              </w:tc>
            </w:tr>
            <w:tr w:rsidR="00641434" w:rsidRPr="00EB4C9A" w14:paraId="591CC0AF" w14:textId="77777777" w:rsidTr="00367A46">
              <w:trPr>
                <w:trHeight w:val="409"/>
              </w:trPr>
              <w:tc>
                <w:tcPr>
                  <w:tcW w:w="1326" w:type="dxa"/>
                  <w:vAlign w:val="center"/>
                </w:tcPr>
                <w:p w14:paraId="0EA4A207" w14:textId="77777777" w:rsidR="008C20B7" w:rsidRPr="00777D0B" w:rsidRDefault="008C20B7" w:rsidP="008C20B7">
                  <w:pPr>
                    <w:spacing w:after="0" w:line="240" w:lineRule="auto"/>
                    <w:jc w:val="center"/>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Patio o Terraza</w:t>
                  </w:r>
                </w:p>
              </w:tc>
              <w:tc>
                <w:tcPr>
                  <w:tcW w:w="1419" w:type="dxa"/>
                  <w:shd w:val="clear" w:color="auto" w:fill="auto"/>
                  <w:noWrap/>
                  <w:vAlign w:val="center"/>
                </w:tcPr>
                <w:p w14:paraId="5CE8AC99" w14:textId="77777777" w:rsidR="008C20B7" w:rsidRPr="00777D0B" w:rsidRDefault="008C20B7" w:rsidP="008C20B7">
                  <w:pPr>
                    <w:spacing w:after="0" w:line="240" w:lineRule="auto"/>
                    <w:rPr>
                      <w:rFonts w:eastAsia="Times New Roman" w:cstheme="minorHAnsi"/>
                      <w:color w:val="2F5496" w:themeColor="accent5" w:themeShade="BF"/>
                      <w:sz w:val="20"/>
                      <w:szCs w:val="20"/>
                      <w:lang w:eastAsia="es-CL"/>
                    </w:rPr>
                  </w:pPr>
                  <w:r w:rsidRPr="00777D0B">
                    <w:rPr>
                      <w:rFonts w:eastAsia="Times New Roman" w:cstheme="minorHAnsi"/>
                      <w:color w:val="2F5496" w:themeColor="accent5" w:themeShade="BF"/>
                      <w:sz w:val="20"/>
                      <w:szCs w:val="20"/>
                      <w:lang w:eastAsia="es-CL"/>
                    </w:rPr>
                    <w:t>-</w:t>
                  </w:r>
                </w:p>
              </w:tc>
              <w:tc>
                <w:tcPr>
                  <w:tcW w:w="3458" w:type="dxa"/>
                  <w:vAlign w:val="center"/>
                </w:tcPr>
                <w:p w14:paraId="6532636A" w14:textId="445608FF" w:rsidR="008C20B7" w:rsidRPr="00EB4C9A" w:rsidRDefault="000073D7" w:rsidP="000073D7">
                  <w:pPr>
                    <w:spacing w:after="0" w:line="240" w:lineRule="auto"/>
                    <w:rPr>
                      <w:rFonts w:eastAsia="Times New Roman" w:cstheme="minorHAnsi"/>
                      <w:color w:val="2F5496" w:themeColor="accent5" w:themeShade="BF"/>
                      <w:sz w:val="20"/>
                      <w:szCs w:val="20"/>
                      <w:lang w:val="pt-PT" w:eastAsia="es-CL"/>
                    </w:rPr>
                  </w:pPr>
                  <w:r w:rsidRPr="00EB4C9A">
                    <w:rPr>
                      <w:rFonts w:eastAsia="Times New Roman" w:cstheme="minorHAnsi"/>
                      <w:color w:val="2F5496" w:themeColor="accent5" w:themeShade="BF"/>
                      <w:sz w:val="20"/>
                      <w:szCs w:val="20"/>
                      <w:lang w:val="pt-PT" w:eastAsia="es-CL"/>
                    </w:rPr>
                    <w:t>A partir de 20 ocupantes, 2</w:t>
                  </w:r>
                  <w:r w:rsidR="008C20B7" w:rsidRPr="00EB4C9A">
                    <w:rPr>
                      <w:rFonts w:eastAsia="Times New Roman" w:cstheme="minorHAnsi"/>
                      <w:color w:val="2F5496" w:themeColor="accent5" w:themeShade="BF"/>
                      <w:sz w:val="20"/>
                      <w:szCs w:val="20"/>
                      <w:lang w:val="pt-PT" w:eastAsia="es-CL"/>
                    </w:rPr>
                    <w:t xml:space="preserve"> m</w:t>
                  </w:r>
                  <w:r w:rsidR="008C20B7" w:rsidRPr="00EB4C9A">
                    <w:rPr>
                      <w:rFonts w:eastAsia="Times New Roman" w:cstheme="minorHAnsi"/>
                      <w:color w:val="2F5496" w:themeColor="accent5" w:themeShade="BF"/>
                      <w:sz w:val="20"/>
                      <w:szCs w:val="20"/>
                      <w:vertAlign w:val="superscript"/>
                      <w:lang w:val="pt-PT" w:eastAsia="es-CL"/>
                    </w:rPr>
                    <w:t>2</w:t>
                  </w:r>
                  <w:r w:rsidRPr="00EB4C9A">
                    <w:rPr>
                      <w:rFonts w:eastAsia="Times New Roman" w:cstheme="minorHAnsi"/>
                      <w:color w:val="2F5496" w:themeColor="accent5" w:themeShade="BF"/>
                      <w:sz w:val="20"/>
                      <w:szCs w:val="20"/>
                      <w:lang w:val="pt-PT" w:eastAsia="es-CL"/>
                    </w:rPr>
                    <w:t xml:space="preserve"> por cada ocupante.</w:t>
                  </w:r>
                </w:p>
              </w:tc>
            </w:tr>
          </w:tbl>
          <w:p w14:paraId="3F18D7FC" w14:textId="77777777" w:rsidR="008C20B7" w:rsidRPr="00EB4C9A" w:rsidRDefault="008C20B7" w:rsidP="008C20B7">
            <w:pPr>
              <w:tabs>
                <w:tab w:val="left" w:pos="2268"/>
              </w:tabs>
              <w:spacing w:line="312" w:lineRule="auto"/>
              <w:ind w:left="1418"/>
              <w:jc w:val="both"/>
              <w:rPr>
                <w:rFonts w:ascii="Verdana" w:hAnsi="Verdana"/>
                <w:color w:val="2F5496" w:themeColor="accent5" w:themeShade="BF"/>
                <w:sz w:val="20"/>
                <w:szCs w:val="20"/>
                <w:lang w:val="pt-PT"/>
              </w:rPr>
            </w:pPr>
          </w:p>
          <w:p w14:paraId="3722B34B" w14:textId="2474755B" w:rsidR="008C20B7" w:rsidRPr="00EB4C9A" w:rsidRDefault="008C20B7" w:rsidP="008C20B7">
            <w:pPr>
              <w:tabs>
                <w:tab w:val="left" w:pos="2268"/>
              </w:tabs>
              <w:ind w:left="1418"/>
              <w:jc w:val="both"/>
              <w:rPr>
                <w:rFonts w:ascii="Verdana" w:hAnsi="Verdana"/>
                <w:color w:val="2F5496" w:themeColor="accent5" w:themeShade="BF"/>
                <w:sz w:val="20"/>
                <w:szCs w:val="20"/>
                <w:lang w:val="pt-PT"/>
              </w:rPr>
            </w:pPr>
          </w:p>
          <w:p w14:paraId="4945086E" w14:textId="71BC9DF0" w:rsidR="008C20B7" w:rsidRPr="00641434" w:rsidRDefault="00641434" w:rsidP="00641434">
            <w:pPr>
              <w:tabs>
                <w:tab w:val="left" w:pos="6133"/>
              </w:tabs>
              <w:spacing w:line="276" w:lineRule="auto"/>
              <w:ind w:left="179" w:right="177"/>
              <w:jc w:val="both"/>
              <w:rPr>
                <w:rFonts w:cstheme="minorHAnsi"/>
                <w:color w:val="2F5496" w:themeColor="accent5" w:themeShade="BF"/>
                <w:sz w:val="20"/>
                <w:szCs w:val="20"/>
              </w:rPr>
            </w:pPr>
            <w:r w:rsidRPr="00EB4C9A">
              <w:rPr>
                <w:rFonts w:cstheme="minorHAnsi"/>
                <w:color w:val="2F5496" w:themeColor="accent5" w:themeShade="BF"/>
                <w:sz w:val="20"/>
                <w:szCs w:val="20"/>
                <w:lang w:val="pt-PT"/>
              </w:rPr>
              <w:lastRenderedPageBreak/>
              <w:t xml:space="preserve">                                  </w:t>
            </w:r>
            <w:r w:rsidR="008C20B7" w:rsidRPr="00641434">
              <w:rPr>
                <w:rFonts w:cstheme="minorHAnsi"/>
                <w:color w:val="2F5496" w:themeColor="accent5" w:themeShade="BF"/>
                <w:sz w:val="20"/>
                <w:szCs w:val="20"/>
              </w:rPr>
              <w:t>Sin perjuicio de lo anterior, los recintos a que se refiere la Tabla precedente deberán cumplir, además, con las exigencias que se indican a continuación:</w:t>
            </w:r>
          </w:p>
          <w:p w14:paraId="1320ADA1" w14:textId="6AC3E765" w:rsidR="008C20B7" w:rsidRPr="000F0C86" w:rsidRDefault="008C20B7" w:rsidP="00ED1156">
            <w:pPr>
              <w:ind w:right="127"/>
              <w:jc w:val="both"/>
              <w:rPr>
                <w:rFonts w:cstheme="minorHAnsi"/>
                <w:color w:val="2F5496" w:themeColor="accent5" w:themeShade="BF"/>
                <w:sz w:val="20"/>
                <w:szCs w:val="20"/>
              </w:rPr>
            </w:pPr>
          </w:p>
          <w:p w14:paraId="5C503F4D" w14:textId="77777777" w:rsidR="000073D7" w:rsidRPr="000F0C86" w:rsidRDefault="00641434" w:rsidP="00D76BF5">
            <w:pPr>
              <w:pStyle w:val="Prrafodelista"/>
              <w:numPr>
                <w:ilvl w:val="0"/>
                <w:numId w:val="41"/>
              </w:numPr>
              <w:tabs>
                <w:tab w:val="left" w:pos="599"/>
              </w:tabs>
              <w:spacing w:before="120" w:line="276" w:lineRule="auto"/>
              <w:ind w:left="601" w:right="170" w:hanging="425"/>
              <w:contextualSpacing w:val="0"/>
              <w:jc w:val="both"/>
              <w:rPr>
                <w:rFonts w:cstheme="minorHAnsi"/>
                <w:color w:val="2F5496" w:themeColor="accent5" w:themeShade="BF"/>
                <w:sz w:val="20"/>
                <w:szCs w:val="20"/>
              </w:rPr>
            </w:pPr>
            <w:r w:rsidRPr="000F0C86">
              <w:rPr>
                <w:rFonts w:cstheme="minorHAnsi"/>
                <w:color w:val="2F5496" w:themeColor="accent5" w:themeShade="BF"/>
                <w:sz w:val="20"/>
                <w:szCs w:val="20"/>
              </w:rPr>
              <w:t>Al menos el 30% de las piezas o habitaciones deberán contar con baño</w:t>
            </w:r>
            <w:r w:rsidR="000073D7" w:rsidRPr="000F0C86">
              <w:rPr>
                <w:rFonts w:cstheme="minorHAnsi"/>
                <w:color w:val="2F5496" w:themeColor="accent5" w:themeShade="BF"/>
                <w:sz w:val="20"/>
                <w:szCs w:val="20"/>
              </w:rPr>
              <w:t xml:space="preserve"> privado para uso exclusivo de sus ocupantes el que deberá considerar como mínimo un inodoro, un lavamanos y una tina o receptáculo.</w:t>
            </w:r>
          </w:p>
          <w:p w14:paraId="253683FE" w14:textId="77777777" w:rsidR="000073D7" w:rsidRPr="000F0C86" w:rsidRDefault="000073D7" w:rsidP="00D76BF5">
            <w:pPr>
              <w:pStyle w:val="Prrafodelista"/>
              <w:numPr>
                <w:ilvl w:val="0"/>
                <w:numId w:val="41"/>
              </w:numPr>
              <w:tabs>
                <w:tab w:val="left" w:pos="599"/>
              </w:tabs>
              <w:spacing w:before="120" w:line="276" w:lineRule="auto"/>
              <w:ind w:left="601" w:right="170" w:hanging="425"/>
              <w:contextualSpacing w:val="0"/>
              <w:jc w:val="both"/>
              <w:rPr>
                <w:rFonts w:cstheme="minorHAnsi"/>
                <w:color w:val="2F5496" w:themeColor="accent5" w:themeShade="BF"/>
                <w:sz w:val="20"/>
                <w:szCs w:val="20"/>
              </w:rPr>
            </w:pPr>
            <w:r w:rsidRPr="000F0C86">
              <w:rPr>
                <w:rFonts w:cstheme="minorHAnsi"/>
                <w:color w:val="2F5496" w:themeColor="accent5" w:themeShade="BF"/>
                <w:sz w:val="20"/>
                <w:szCs w:val="20"/>
              </w:rPr>
              <w:t>Cuando en los servicios higiénicos de uso compartido, se dispongan los artefactos de manera conjunta, a modo de batería, el módulo para los inodoros deberá tener una dimensión mínima de 0,80m x 1,20m mientras que el módulo de ducha deberá tener una dimensión mínima de 0,80m x 1,60m. Este último módulo deberá disponer de facilidades o dispositivos que permitan a las personas alojar su ropa y pertenencias al interior del mismo módulo.</w:t>
            </w:r>
          </w:p>
          <w:p w14:paraId="0DB73AF3" w14:textId="77777777" w:rsidR="000073D7" w:rsidRPr="000F0C86" w:rsidRDefault="000073D7" w:rsidP="00D76BF5">
            <w:pPr>
              <w:pStyle w:val="Prrafodelista"/>
              <w:numPr>
                <w:ilvl w:val="0"/>
                <w:numId w:val="41"/>
              </w:numPr>
              <w:tabs>
                <w:tab w:val="left" w:pos="599"/>
              </w:tabs>
              <w:spacing w:before="120" w:line="276" w:lineRule="auto"/>
              <w:ind w:left="601" w:right="170" w:hanging="425"/>
              <w:contextualSpacing w:val="0"/>
              <w:jc w:val="both"/>
              <w:rPr>
                <w:rFonts w:cstheme="minorHAnsi"/>
                <w:color w:val="2F5496" w:themeColor="accent5" w:themeShade="BF"/>
                <w:sz w:val="20"/>
                <w:szCs w:val="20"/>
              </w:rPr>
            </w:pPr>
            <w:r w:rsidRPr="000F0C86">
              <w:rPr>
                <w:rFonts w:cstheme="minorHAnsi"/>
                <w:color w:val="2F5496" w:themeColor="accent5" w:themeShade="BF"/>
                <w:sz w:val="20"/>
                <w:szCs w:val="20"/>
              </w:rPr>
              <w:t>Los servicios higiénicos de uso compartido deberán distribuirse proporcionalmente a la carga de ocupación por piso, y dividirse en recintos independientes que permitan su utilización por sexo.</w:t>
            </w:r>
          </w:p>
          <w:p w14:paraId="703ECB51" w14:textId="77777777" w:rsidR="000073D7" w:rsidRPr="000F0C86" w:rsidRDefault="000073D7" w:rsidP="00D76BF5">
            <w:pPr>
              <w:pStyle w:val="Prrafodelista"/>
              <w:numPr>
                <w:ilvl w:val="0"/>
                <w:numId w:val="41"/>
              </w:numPr>
              <w:tabs>
                <w:tab w:val="left" w:pos="599"/>
              </w:tabs>
              <w:spacing w:before="120" w:line="276" w:lineRule="auto"/>
              <w:ind w:left="601" w:right="170" w:hanging="425"/>
              <w:contextualSpacing w:val="0"/>
              <w:jc w:val="both"/>
              <w:rPr>
                <w:rFonts w:cstheme="minorHAnsi"/>
                <w:color w:val="2F5496" w:themeColor="accent5" w:themeShade="BF"/>
                <w:sz w:val="20"/>
                <w:szCs w:val="20"/>
              </w:rPr>
            </w:pPr>
            <w:r w:rsidRPr="000F0C86">
              <w:rPr>
                <w:rFonts w:cstheme="minorHAnsi"/>
                <w:color w:val="2F5496" w:themeColor="accent5" w:themeShade="BF"/>
                <w:sz w:val="20"/>
                <w:szCs w:val="20"/>
              </w:rPr>
              <w:t>Dentro de los servicios higiénicos, deberá contemplarse al menos uno destinado a personas con discapacidad pudiendo ser de uso alternativo de ambos sexos.</w:t>
            </w:r>
          </w:p>
          <w:p w14:paraId="297EB05C" w14:textId="51B2F7B5" w:rsidR="000073D7" w:rsidRPr="000F0C86" w:rsidRDefault="000073D7" w:rsidP="00D76BF5">
            <w:pPr>
              <w:pStyle w:val="Prrafodelista"/>
              <w:numPr>
                <w:ilvl w:val="0"/>
                <w:numId w:val="41"/>
              </w:numPr>
              <w:tabs>
                <w:tab w:val="left" w:pos="599"/>
              </w:tabs>
              <w:spacing w:before="120" w:line="276" w:lineRule="auto"/>
              <w:ind w:left="601" w:right="170" w:hanging="425"/>
              <w:contextualSpacing w:val="0"/>
              <w:jc w:val="both"/>
              <w:rPr>
                <w:rFonts w:cstheme="minorHAnsi"/>
                <w:color w:val="2F5496" w:themeColor="accent5" w:themeShade="BF"/>
                <w:sz w:val="20"/>
                <w:szCs w:val="20"/>
              </w:rPr>
            </w:pPr>
            <w:r w:rsidRPr="000F0C86">
              <w:rPr>
                <w:rFonts w:cstheme="minorHAnsi"/>
                <w:color w:val="2F5496" w:themeColor="accent5" w:themeShade="BF"/>
                <w:sz w:val="20"/>
                <w:szCs w:val="20"/>
              </w:rPr>
              <w:t>Las instalaciones de agua potable, fría y caliente, deberán permitir el funcionamiento simultáneo de una tercera parte de los artefactos, como mínimo. Asimismo, todas las tinas</w:t>
            </w:r>
            <w:r w:rsidR="00870132" w:rsidRPr="000F0C86">
              <w:rPr>
                <w:rFonts w:cstheme="minorHAnsi"/>
                <w:color w:val="2F5496" w:themeColor="accent5" w:themeShade="BF"/>
                <w:sz w:val="20"/>
                <w:szCs w:val="20"/>
              </w:rPr>
              <w:t xml:space="preserve"> o receptáculos</w:t>
            </w:r>
            <w:r w:rsidRPr="000F0C86">
              <w:rPr>
                <w:rFonts w:cstheme="minorHAnsi"/>
                <w:color w:val="2F5496" w:themeColor="accent5" w:themeShade="BF"/>
                <w:sz w:val="20"/>
                <w:szCs w:val="20"/>
              </w:rPr>
              <w:t>, lavamanos y lavaplatos deberán considerar agua caliente.</w:t>
            </w:r>
          </w:p>
          <w:p w14:paraId="10FCA79C" w14:textId="00DC964D" w:rsidR="000073D7" w:rsidRPr="000F0C86" w:rsidRDefault="000073D7" w:rsidP="00D76BF5">
            <w:pPr>
              <w:pStyle w:val="Prrafodelista"/>
              <w:numPr>
                <w:ilvl w:val="0"/>
                <w:numId w:val="41"/>
              </w:numPr>
              <w:tabs>
                <w:tab w:val="left" w:pos="599"/>
              </w:tabs>
              <w:spacing w:before="120" w:line="276" w:lineRule="auto"/>
              <w:ind w:left="601" w:right="170" w:hanging="425"/>
              <w:contextualSpacing w:val="0"/>
              <w:jc w:val="both"/>
              <w:rPr>
                <w:rFonts w:cstheme="minorHAnsi"/>
                <w:color w:val="2F5496" w:themeColor="accent5" w:themeShade="BF"/>
                <w:sz w:val="20"/>
                <w:szCs w:val="20"/>
              </w:rPr>
            </w:pPr>
            <w:r w:rsidRPr="000F0C86">
              <w:rPr>
                <w:rFonts w:cstheme="minorHAnsi"/>
                <w:color w:val="2F5496" w:themeColor="accent5" w:themeShade="BF"/>
                <w:sz w:val="20"/>
                <w:szCs w:val="20"/>
              </w:rPr>
              <w:t>En cocinas abiertas o integradas al comedor la disposición de los artefactos deberá ser unitaria, permitiendo identificar claramente el área de cocina.</w:t>
            </w:r>
          </w:p>
          <w:p w14:paraId="2F70DCBC" w14:textId="07344D61" w:rsidR="000073D7" w:rsidRDefault="000073D7" w:rsidP="00031D48">
            <w:pPr>
              <w:spacing w:line="23" w:lineRule="atLeast"/>
              <w:ind w:right="127"/>
              <w:jc w:val="both"/>
              <w:rPr>
                <w:rFonts w:ascii="Verdana" w:hAnsi="Verdana"/>
                <w:color w:val="2F5496" w:themeColor="accent5" w:themeShade="BF"/>
                <w:sz w:val="16"/>
                <w:szCs w:val="16"/>
              </w:rPr>
            </w:pPr>
          </w:p>
          <w:p w14:paraId="7C89382F" w14:textId="77777777" w:rsidR="00870132" w:rsidRPr="000073D7" w:rsidRDefault="00870132" w:rsidP="00031D48">
            <w:pPr>
              <w:spacing w:line="23" w:lineRule="atLeast"/>
              <w:ind w:right="127"/>
              <w:jc w:val="both"/>
              <w:rPr>
                <w:rFonts w:ascii="Verdana" w:hAnsi="Verdana"/>
                <w:color w:val="2F5496" w:themeColor="accent5" w:themeShade="BF"/>
                <w:sz w:val="16"/>
                <w:szCs w:val="16"/>
              </w:rPr>
            </w:pPr>
          </w:p>
          <w:p w14:paraId="383CDED6" w14:textId="77777777" w:rsidR="00870132" w:rsidRDefault="00870132" w:rsidP="00D76BF5">
            <w:pPr>
              <w:tabs>
                <w:tab w:val="left" w:pos="1846"/>
                <w:tab w:val="left" w:pos="6133"/>
              </w:tabs>
              <w:spacing w:line="276" w:lineRule="auto"/>
              <w:ind w:left="181" w:right="176"/>
              <w:jc w:val="both"/>
              <w:rPr>
                <w:rFonts w:cstheme="minorHAnsi"/>
                <w:color w:val="2F5496" w:themeColor="accent5" w:themeShade="BF"/>
                <w:sz w:val="20"/>
                <w:szCs w:val="20"/>
              </w:rPr>
            </w:pPr>
            <w:r>
              <w:rPr>
                <w:rFonts w:cstheme="minorHAnsi"/>
                <w:color w:val="2F5496" w:themeColor="accent5" w:themeShade="BF"/>
                <w:sz w:val="20"/>
                <w:szCs w:val="20"/>
              </w:rPr>
              <w:t xml:space="preserve">                               </w:t>
            </w:r>
            <w:r w:rsidRPr="00870132">
              <w:rPr>
                <w:rFonts w:cstheme="minorHAnsi"/>
                <w:color w:val="2F5496" w:themeColor="accent5" w:themeShade="BF"/>
                <w:sz w:val="20"/>
                <w:szCs w:val="20"/>
              </w:rPr>
              <w:t>Tratándose proyectos obra menor, reparación, alteración o ampliación de edificaciones existentes, el Director de Obras Municipales podrá rebajar hasta exceptuar la exigencia indicada en el numeral 1 precedente, previa solicitud fundada por parte del interesado la cual debe indicar fundadamente el motivo por el cual no es posible dar cumplimiento a dicha exigencia.</w:t>
            </w:r>
          </w:p>
          <w:p w14:paraId="70C91EF6" w14:textId="77777777" w:rsidR="00870132" w:rsidRDefault="00870132" w:rsidP="00D76BF5">
            <w:pPr>
              <w:tabs>
                <w:tab w:val="left" w:pos="1846"/>
                <w:tab w:val="left" w:pos="6133"/>
              </w:tabs>
              <w:spacing w:line="276" w:lineRule="auto"/>
              <w:ind w:left="181" w:right="176"/>
              <w:jc w:val="both"/>
              <w:rPr>
                <w:rFonts w:cstheme="minorHAnsi"/>
                <w:color w:val="2F5496" w:themeColor="accent5" w:themeShade="BF"/>
                <w:sz w:val="20"/>
                <w:szCs w:val="20"/>
              </w:rPr>
            </w:pPr>
          </w:p>
          <w:p w14:paraId="5C2183B3" w14:textId="1E9D31AD" w:rsidR="00870132" w:rsidRPr="00870132" w:rsidRDefault="00870132" w:rsidP="00D76BF5">
            <w:pPr>
              <w:tabs>
                <w:tab w:val="left" w:pos="1846"/>
                <w:tab w:val="left" w:pos="6133"/>
              </w:tabs>
              <w:spacing w:line="276" w:lineRule="auto"/>
              <w:ind w:left="181" w:right="176"/>
              <w:jc w:val="both"/>
              <w:rPr>
                <w:rFonts w:cstheme="minorHAnsi"/>
                <w:color w:val="2F5496" w:themeColor="accent5" w:themeShade="BF"/>
                <w:sz w:val="20"/>
                <w:szCs w:val="20"/>
              </w:rPr>
            </w:pPr>
            <w:r>
              <w:rPr>
                <w:rFonts w:cstheme="minorHAnsi"/>
                <w:color w:val="2F5496" w:themeColor="accent5" w:themeShade="BF"/>
                <w:sz w:val="20"/>
                <w:szCs w:val="20"/>
              </w:rPr>
              <w:t xml:space="preserve">                                </w:t>
            </w:r>
            <w:r w:rsidRPr="00870132">
              <w:rPr>
                <w:rFonts w:cstheme="minorHAnsi"/>
                <w:color w:val="2F5496" w:themeColor="accent5" w:themeShade="BF"/>
                <w:sz w:val="20"/>
                <w:szCs w:val="20"/>
              </w:rPr>
              <w:t>Del mismo modo, el Director de Obras Municipales podrá, previa solicitud fundada por parte del interesado, rebajar o exceptuar la exigencia de superficie de patio o terraza a que se refiere la Tabla precedente a los proyectos antes señalados.</w:t>
            </w:r>
          </w:p>
          <w:p w14:paraId="46244D9F" w14:textId="358B80CD" w:rsidR="008C20B7" w:rsidRPr="004E04FE" w:rsidRDefault="008C20B7" w:rsidP="00ED1156">
            <w:pPr>
              <w:ind w:right="127"/>
              <w:jc w:val="both"/>
              <w:rPr>
                <w:rFonts w:cstheme="minorHAnsi"/>
                <w:bCs/>
                <w:sz w:val="20"/>
                <w:szCs w:val="20"/>
              </w:rPr>
            </w:pPr>
          </w:p>
        </w:tc>
        <w:tc>
          <w:tcPr>
            <w:tcW w:w="18711" w:type="dxa"/>
          </w:tcPr>
          <w:p w14:paraId="79C29E0E" w14:textId="77777777" w:rsidR="00445763" w:rsidRPr="004E04FE" w:rsidRDefault="00445763" w:rsidP="00ED1156">
            <w:pPr>
              <w:ind w:right="127"/>
              <w:jc w:val="both"/>
              <w:rPr>
                <w:rFonts w:cstheme="minorHAnsi"/>
                <w:bCs/>
                <w:sz w:val="20"/>
                <w:szCs w:val="20"/>
              </w:rPr>
            </w:pPr>
          </w:p>
        </w:tc>
      </w:tr>
      <w:tr w:rsidR="000F0C86" w:rsidRPr="00536FF3" w14:paraId="220B7E3E" w14:textId="77777777" w:rsidTr="00367A46">
        <w:trPr>
          <w:trHeight w:val="290"/>
          <w:jc w:val="center"/>
        </w:trPr>
        <w:tc>
          <w:tcPr>
            <w:tcW w:w="18711" w:type="dxa"/>
            <w:vAlign w:val="center"/>
          </w:tcPr>
          <w:p w14:paraId="5833E640" w14:textId="2ADD33C2" w:rsidR="00445763" w:rsidRDefault="00F26C80" w:rsidP="00F26C80">
            <w:pPr>
              <w:jc w:val="center"/>
              <w:rPr>
                <w:rFonts w:cstheme="minorHAnsi"/>
                <w:b/>
                <w:bCs/>
                <w:sz w:val="20"/>
                <w:szCs w:val="20"/>
              </w:rPr>
            </w:pPr>
            <w:r>
              <w:rPr>
                <w:rFonts w:cstheme="minorHAnsi"/>
                <w:b/>
                <w:bCs/>
                <w:sz w:val="20"/>
                <w:szCs w:val="20"/>
              </w:rPr>
              <w:lastRenderedPageBreak/>
              <w:t>-</w:t>
            </w:r>
          </w:p>
        </w:tc>
        <w:tc>
          <w:tcPr>
            <w:tcW w:w="18711" w:type="dxa"/>
          </w:tcPr>
          <w:p w14:paraId="59290F5B" w14:textId="77777777" w:rsidR="00445763" w:rsidRDefault="00445763" w:rsidP="00367A46">
            <w:pPr>
              <w:spacing w:line="23" w:lineRule="atLeast"/>
              <w:ind w:right="127"/>
              <w:jc w:val="both"/>
              <w:rPr>
                <w:rFonts w:cstheme="minorHAnsi"/>
                <w:bCs/>
                <w:sz w:val="20"/>
                <w:szCs w:val="20"/>
              </w:rPr>
            </w:pPr>
          </w:p>
          <w:p w14:paraId="337B4EC1" w14:textId="3F829BCB" w:rsidR="0013561C" w:rsidRDefault="007A184A" w:rsidP="00D76BF5">
            <w:pPr>
              <w:tabs>
                <w:tab w:val="left" w:pos="1846"/>
                <w:tab w:val="left" w:pos="6133"/>
              </w:tabs>
              <w:spacing w:line="276" w:lineRule="auto"/>
              <w:ind w:left="179" w:right="177"/>
              <w:jc w:val="both"/>
              <w:rPr>
                <w:rFonts w:cstheme="minorHAnsi"/>
                <w:color w:val="2F5496" w:themeColor="accent5" w:themeShade="BF"/>
                <w:sz w:val="20"/>
                <w:szCs w:val="20"/>
              </w:rPr>
            </w:pPr>
            <w:r w:rsidRPr="00020EF2">
              <w:rPr>
                <w:rFonts w:cstheme="minorHAnsi"/>
                <w:b/>
                <w:color w:val="2F5496" w:themeColor="accent5" w:themeShade="BF"/>
                <w:sz w:val="20"/>
                <w:szCs w:val="20"/>
              </w:rPr>
              <w:t>Artículo 4.15.</w:t>
            </w:r>
            <w:r>
              <w:rPr>
                <w:rFonts w:cstheme="minorHAnsi"/>
                <w:b/>
                <w:color w:val="2F5496" w:themeColor="accent5" w:themeShade="BF"/>
                <w:sz w:val="20"/>
                <w:szCs w:val="20"/>
              </w:rPr>
              <w:t>7</w:t>
            </w:r>
            <w:r w:rsidRPr="00020EF2">
              <w:rPr>
                <w:rFonts w:cstheme="minorHAnsi"/>
                <w:b/>
                <w:color w:val="2F5496" w:themeColor="accent5" w:themeShade="BF"/>
                <w:sz w:val="20"/>
                <w:szCs w:val="20"/>
              </w:rPr>
              <w:t>.</w:t>
            </w:r>
            <w:r w:rsidRPr="00020EF2">
              <w:rPr>
                <w:rFonts w:cstheme="minorHAnsi"/>
                <w:color w:val="2F5496" w:themeColor="accent5" w:themeShade="BF"/>
                <w:sz w:val="20"/>
                <w:szCs w:val="20"/>
              </w:rPr>
              <w:t xml:space="preserve">      </w:t>
            </w:r>
            <w:r w:rsidR="0013561C" w:rsidRPr="0013561C">
              <w:rPr>
                <w:rFonts w:cstheme="minorHAnsi"/>
                <w:color w:val="2F5496" w:themeColor="accent5" w:themeShade="BF"/>
                <w:sz w:val="20"/>
                <w:szCs w:val="20"/>
              </w:rPr>
              <w:t>En los edificios señalados en este Capítulo, las unidades destinadas a piezas o habitaciones y los recintos de uso común deberán cumplir las siguientes normas de habitabilidad, que comprenden a su vez las condiciones de ventilación, iluminación, accesibilidad universal y acondicionamiento térmico:</w:t>
            </w:r>
          </w:p>
          <w:p w14:paraId="7DA2E9A5" w14:textId="461A5973" w:rsidR="0013561C" w:rsidRDefault="0013561C" w:rsidP="00367A46">
            <w:pPr>
              <w:spacing w:line="23" w:lineRule="atLeast"/>
              <w:ind w:right="127"/>
              <w:jc w:val="both"/>
              <w:rPr>
                <w:rFonts w:cstheme="minorHAnsi"/>
                <w:color w:val="2F5496" w:themeColor="accent5" w:themeShade="BF"/>
                <w:sz w:val="20"/>
                <w:szCs w:val="20"/>
              </w:rPr>
            </w:pPr>
          </w:p>
          <w:p w14:paraId="1381E110" w14:textId="77777777" w:rsidR="002E3F48" w:rsidRPr="000F0C86" w:rsidRDefault="002E3F48" w:rsidP="00D76BF5">
            <w:pPr>
              <w:pStyle w:val="Prrafodelista"/>
              <w:numPr>
                <w:ilvl w:val="0"/>
                <w:numId w:val="42"/>
              </w:numPr>
              <w:tabs>
                <w:tab w:val="left" w:pos="599"/>
              </w:tabs>
              <w:spacing w:before="120" w:line="276" w:lineRule="auto"/>
              <w:ind w:left="601" w:right="170" w:hanging="425"/>
              <w:contextualSpacing w:val="0"/>
              <w:jc w:val="both"/>
              <w:rPr>
                <w:rFonts w:cstheme="minorHAnsi"/>
                <w:color w:val="2F5496" w:themeColor="accent5" w:themeShade="BF"/>
                <w:sz w:val="20"/>
                <w:szCs w:val="20"/>
              </w:rPr>
            </w:pPr>
            <w:r w:rsidRPr="000F0C86">
              <w:rPr>
                <w:rFonts w:cstheme="minorHAnsi"/>
                <w:color w:val="2F5496" w:themeColor="accent5" w:themeShade="BF"/>
                <w:sz w:val="20"/>
                <w:szCs w:val="20"/>
              </w:rPr>
              <w:t>Les serán aplicables las disposiciones relativas a locales habitables señaladas en los artículos 4.1.1., 4.1.2., 4.1.3. y 4.1.6. de esta Ordenanza, respectivamente. El estándar de terminaciones de estas unidades y recintos no podrá ser inferior a las aplicadas a viviendas y en ningún caso a las definidas en esta Ordenanza cómo obra gruesa habitable.</w:t>
            </w:r>
          </w:p>
          <w:p w14:paraId="46BB9680" w14:textId="77777777" w:rsidR="002E3F48" w:rsidRPr="000F0C86" w:rsidRDefault="002E3F48" w:rsidP="00D76BF5">
            <w:pPr>
              <w:pStyle w:val="Prrafodelista"/>
              <w:numPr>
                <w:ilvl w:val="0"/>
                <w:numId w:val="42"/>
              </w:numPr>
              <w:tabs>
                <w:tab w:val="left" w:pos="599"/>
              </w:tabs>
              <w:spacing w:before="120" w:line="276" w:lineRule="auto"/>
              <w:ind w:left="601" w:right="170" w:hanging="425"/>
              <w:contextualSpacing w:val="0"/>
              <w:jc w:val="both"/>
              <w:rPr>
                <w:rFonts w:cstheme="minorHAnsi"/>
                <w:color w:val="2F5496" w:themeColor="accent5" w:themeShade="BF"/>
                <w:sz w:val="20"/>
                <w:szCs w:val="20"/>
              </w:rPr>
            </w:pPr>
            <w:r w:rsidRPr="000F0C86">
              <w:rPr>
                <w:rFonts w:cstheme="minorHAnsi"/>
                <w:color w:val="2F5496" w:themeColor="accent5" w:themeShade="BF"/>
                <w:sz w:val="20"/>
                <w:szCs w:val="20"/>
              </w:rPr>
              <w:t>Para efectos de su clasificación según sus condiciones acústicas, los edificios señalados en este Capítulo, incluidas sus unidades y recintos o espacios de uso común se asimilarán a viviendas, para los efectos del cumplimiento de las disposiciones del artículo 4.1.5. de esta Ordenanza.</w:t>
            </w:r>
          </w:p>
          <w:p w14:paraId="3E72EEE4" w14:textId="77777777" w:rsidR="002E3F48" w:rsidRPr="000F0C86" w:rsidRDefault="002E3F48" w:rsidP="00D76BF5">
            <w:pPr>
              <w:pStyle w:val="Prrafodelista"/>
              <w:numPr>
                <w:ilvl w:val="0"/>
                <w:numId w:val="42"/>
              </w:numPr>
              <w:tabs>
                <w:tab w:val="left" w:pos="599"/>
              </w:tabs>
              <w:spacing w:before="120" w:line="276" w:lineRule="auto"/>
              <w:ind w:left="601" w:right="170" w:hanging="425"/>
              <w:contextualSpacing w:val="0"/>
              <w:jc w:val="both"/>
              <w:rPr>
                <w:rFonts w:cstheme="minorHAnsi"/>
                <w:color w:val="2F5496" w:themeColor="accent5" w:themeShade="BF"/>
                <w:sz w:val="20"/>
                <w:szCs w:val="20"/>
              </w:rPr>
            </w:pPr>
            <w:r w:rsidRPr="000F0C86">
              <w:rPr>
                <w:rFonts w:cstheme="minorHAnsi"/>
                <w:color w:val="2F5496" w:themeColor="accent5" w:themeShade="BF"/>
                <w:sz w:val="20"/>
                <w:szCs w:val="20"/>
              </w:rPr>
              <w:t>Deberán contar con una ruta accesible que conecte el espacio público con él o los accesos al edificio, con las unidades ubicadas en el primer piso, servicios higiénicos y él o los estacionamientos para personas con discapacidad cuando corresponda, y con todos aquellos recintos que sean de uso común de acuerdo al proyecto. Las puertas de ingreso a estas unidades y recintos de uso común deberán tener un ancho libre de paso de 0,80 m.</w:t>
            </w:r>
          </w:p>
          <w:p w14:paraId="5C46913E" w14:textId="77777777" w:rsidR="002E3F48" w:rsidRPr="000F0C86" w:rsidRDefault="002E3F48" w:rsidP="00D76BF5">
            <w:pPr>
              <w:pStyle w:val="Prrafodelista"/>
              <w:numPr>
                <w:ilvl w:val="0"/>
                <w:numId w:val="42"/>
              </w:numPr>
              <w:tabs>
                <w:tab w:val="left" w:pos="599"/>
              </w:tabs>
              <w:spacing w:before="120" w:line="276" w:lineRule="auto"/>
              <w:ind w:left="601" w:right="170" w:hanging="425"/>
              <w:contextualSpacing w:val="0"/>
              <w:jc w:val="both"/>
              <w:rPr>
                <w:rFonts w:cstheme="minorHAnsi"/>
                <w:color w:val="2F5496" w:themeColor="accent5" w:themeShade="BF"/>
                <w:sz w:val="20"/>
                <w:szCs w:val="20"/>
              </w:rPr>
            </w:pPr>
            <w:r w:rsidRPr="000F0C86">
              <w:rPr>
                <w:rFonts w:cstheme="minorHAnsi"/>
                <w:color w:val="2F5496" w:themeColor="accent5" w:themeShade="BF"/>
                <w:sz w:val="20"/>
                <w:szCs w:val="20"/>
              </w:rPr>
              <w:t>A las unidades destinadas a piezas o habitaciones y a los recintos de uso común destinados a estar común les serán aplicables las disposiciones relativas a condicionamiento térmico aplicables a viviendas señaladas en el artículo 4.1.10. y 4.1.10. bis de esta Ordenanza.</w:t>
            </w:r>
          </w:p>
          <w:p w14:paraId="54DB5B92" w14:textId="77777777" w:rsidR="007A184A" w:rsidRPr="000F0C86" w:rsidRDefault="002E3F48" w:rsidP="00D76BF5">
            <w:pPr>
              <w:pStyle w:val="Prrafodelista"/>
              <w:numPr>
                <w:ilvl w:val="0"/>
                <w:numId w:val="42"/>
              </w:numPr>
              <w:tabs>
                <w:tab w:val="left" w:pos="599"/>
              </w:tabs>
              <w:spacing w:before="120" w:line="276" w:lineRule="auto"/>
              <w:ind w:left="601" w:right="170" w:hanging="425"/>
              <w:contextualSpacing w:val="0"/>
              <w:jc w:val="both"/>
              <w:rPr>
                <w:rFonts w:cstheme="minorHAnsi"/>
                <w:color w:val="2F5496" w:themeColor="accent5" w:themeShade="BF"/>
                <w:sz w:val="20"/>
                <w:szCs w:val="20"/>
              </w:rPr>
            </w:pPr>
            <w:r w:rsidRPr="000F0C86">
              <w:rPr>
                <w:rFonts w:cstheme="minorHAnsi"/>
                <w:color w:val="2F5496" w:themeColor="accent5" w:themeShade="BF"/>
                <w:sz w:val="20"/>
                <w:szCs w:val="20"/>
              </w:rPr>
              <w:t>A los edificios señalados en este Capítulo les serán aplicables las disposiciones señaladas en los artículos 4.1.12., 4.1.13., 4.1.14. y 4.1.16. de esta Ordenanza.</w:t>
            </w:r>
          </w:p>
          <w:p w14:paraId="5A15157E" w14:textId="096077AA" w:rsidR="002E3F48" w:rsidRPr="002E3F48" w:rsidRDefault="002E3F48" w:rsidP="00367A46">
            <w:pPr>
              <w:pStyle w:val="Prrafodelista"/>
              <w:tabs>
                <w:tab w:val="left" w:pos="599"/>
              </w:tabs>
              <w:spacing w:line="23" w:lineRule="atLeast"/>
              <w:ind w:left="601" w:right="170"/>
              <w:contextualSpacing w:val="0"/>
              <w:jc w:val="both"/>
              <w:rPr>
                <w:rFonts w:ascii="Verdana" w:hAnsi="Verdana"/>
                <w:color w:val="2F5496" w:themeColor="accent5" w:themeShade="BF"/>
                <w:sz w:val="16"/>
                <w:szCs w:val="16"/>
              </w:rPr>
            </w:pPr>
          </w:p>
        </w:tc>
        <w:tc>
          <w:tcPr>
            <w:tcW w:w="18711" w:type="dxa"/>
          </w:tcPr>
          <w:p w14:paraId="75E6605B" w14:textId="77777777" w:rsidR="00445763" w:rsidRPr="004E04FE" w:rsidRDefault="00445763" w:rsidP="00ED1156">
            <w:pPr>
              <w:ind w:right="127"/>
              <w:jc w:val="both"/>
              <w:rPr>
                <w:rFonts w:cstheme="minorHAnsi"/>
                <w:bCs/>
                <w:sz w:val="20"/>
                <w:szCs w:val="20"/>
              </w:rPr>
            </w:pPr>
          </w:p>
        </w:tc>
      </w:tr>
      <w:tr w:rsidR="000F0C86" w:rsidRPr="00536FF3" w14:paraId="41549D2F" w14:textId="77777777" w:rsidTr="00367A46">
        <w:trPr>
          <w:trHeight w:val="290"/>
          <w:jc w:val="center"/>
        </w:trPr>
        <w:tc>
          <w:tcPr>
            <w:tcW w:w="18711" w:type="dxa"/>
            <w:vAlign w:val="center"/>
          </w:tcPr>
          <w:p w14:paraId="295C2EC0" w14:textId="5E9D5092" w:rsidR="00825149" w:rsidRDefault="00B15C05" w:rsidP="00B15C05">
            <w:pPr>
              <w:jc w:val="center"/>
              <w:rPr>
                <w:rFonts w:cstheme="minorHAnsi"/>
                <w:b/>
                <w:bCs/>
                <w:sz w:val="20"/>
                <w:szCs w:val="20"/>
              </w:rPr>
            </w:pPr>
            <w:r>
              <w:rPr>
                <w:rFonts w:cstheme="minorHAnsi"/>
                <w:b/>
                <w:bCs/>
                <w:sz w:val="20"/>
                <w:szCs w:val="20"/>
              </w:rPr>
              <w:t>-</w:t>
            </w:r>
          </w:p>
        </w:tc>
        <w:tc>
          <w:tcPr>
            <w:tcW w:w="18711" w:type="dxa"/>
          </w:tcPr>
          <w:p w14:paraId="5E100BB1" w14:textId="77777777" w:rsidR="00825149" w:rsidRDefault="00825149" w:rsidP="00031D48">
            <w:pPr>
              <w:spacing w:line="23" w:lineRule="atLeast"/>
              <w:ind w:right="127"/>
              <w:jc w:val="both"/>
              <w:rPr>
                <w:rFonts w:cstheme="minorHAnsi"/>
                <w:bCs/>
                <w:sz w:val="20"/>
                <w:szCs w:val="20"/>
              </w:rPr>
            </w:pPr>
          </w:p>
          <w:p w14:paraId="399E051A" w14:textId="54830B49" w:rsidR="002E3F48" w:rsidRPr="00B15C05" w:rsidRDefault="00B15C05" w:rsidP="00D76BF5">
            <w:pPr>
              <w:tabs>
                <w:tab w:val="left" w:pos="6133"/>
              </w:tabs>
              <w:spacing w:line="276" w:lineRule="auto"/>
              <w:ind w:left="181" w:right="176"/>
              <w:jc w:val="both"/>
              <w:rPr>
                <w:rFonts w:cstheme="minorHAnsi"/>
                <w:color w:val="2F5496" w:themeColor="accent5" w:themeShade="BF"/>
                <w:sz w:val="20"/>
                <w:szCs w:val="20"/>
              </w:rPr>
            </w:pPr>
            <w:r w:rsidRPr="00020EF2">
              <w:rPr>
                <w:rFonts w:cstheme="minorHAnsi"/>
                <w:b/>
                <w:color w:val="2F5496" w:themeColor="accent5" w:themeShade="BF"/>
                <w:sz w:val="20"/>
                <w:szCs w:val="20"/>
              </w:rPr>
              <w:t>Artículo 4.15.</w:t>
            </w:r>
            <w:r>
              <w:rPr>
                <w:rFonts w:cstheme="minorHAnsi"/>
                <w:b/>
                <w:color w:val="2F5496" w:themeColor="accent5" w:themeShade="BF"/>
                <w:sz w:val="20"/>
                <w:szCs w:val="20"/>
              </w:rPr>
              <w:t>8</w:t>
            </w:r>
            <w:r w:rsidRPr="00020EF2">
              <w:rPr>
                <w:rFonts w:cstheme="minorHAnsi"/>
                <w:b/>
                <w:color w:val="2F5496" w:themeColor="accent5" w:themeShade="BF"/>
                <w:sz w:val="20"/>
                <w:szCs w:val="20"/>
              </w:rPr>
              <w:t>.</w:t>
            </w:r>
            <w:r w:rsidRPr="00020EF2">
              <w:rPr>
                <w:rFonts w:cstheme="minorHAnsi"/>
                <w:color w:val="2F5496" w:themeColor="accent5" w:themeShade="BF"/>
                <w:sz w:val="20"/>
                <w:szCs w:val="20"/>
              </w:rPr>
              <w:t xml:space="preserve">      </w:t>
            </w:r>
            <w:r w:rsidR="002E3F48" w:rsidRPr="002E3F48">
              <w:rPr>
                <w:rFonts w:cstheme="minorHAnsi"/>
                <w:color w:val="2F5496" w:themeColor="accent5" w:themeShade="BF"/>
                <w:sz w:val="20"/>
                <w:szCs w:val="20"/>
              </w:rPr>
              <w:t xml:space="preserve">Los edificios señalados en este Capítulo deberán cumplir las normas relativas a las condiciones de seguridad general contenidas en el Capítulo 2 de este mismo Título, y para la determinación de las vías de evacuación, las piezas o habitaciones serán consideradas como unidades funcionales independientes. La carga de ocupación de los recintos de uso común destinados a estar, cocina, comedor y terrazas, cubiertas y no cubiertas, se asimilarán para estos </w:t>
            </w:r>
            <w:r w:rsidR="002E3F48" w:rsidRPr="002E3F48">
              <w:rPr>
                <w:rFonts w:cstheme="minorHAnsi"/>
                <w:color w:val="2F5496" w:themeColor="accent5" w:themeShade="BF"/>
                <w:sz w:val="20"/>
                <w:szCs w:val="20"/>
              </w:rPr>
              <w:lastRenderedPageBreak/>
              <w:t>efectos a la sala de espera del destino salud, señalada en la tabla contenida en el artículo 4.2.4. de ese mismo Capítulo.</w:t>
            </w:r>
          </w:p>
          <w:p w14:paraId="507A5464" w14:textId="1FB2707B" w:rsidR="007A184A" w:rsidRPr="004E04FE" w:rsidRDefault="007A184A" w:rsidP="00031D48">
            <w:pPr>
              <w:spacing w:line="23" w:lineRule="atLeast"/>
              <w:ind w:right="127"/>
              <w:jc w:val="both"/>
              <w:rPr>
                <w:rFonts w:cstheme="minorHAnsi"/>
                <w:bCs/>
                <w:sz w:val="20"/>
                <w:szCs w:val="20"/>
              </w:rPr>
            </w:pPr>
          </w:p>
        </w:tc>
        <w:tc>
          <w:tcPr>
            <w:tcW w:w="18711" w:type="dxa"/>
          </w:tcPr>
          <w:p w14:paraId="0004559A" w14:textId="77777777" w:rsidR="00825149" w:rsidRPr="004E04FE" w:rsidRDefault="00825149" w:rsidP="00ED1156">
            <w:pPr>
              <w:ind w:right="127"/>
              <w:jc w:val="both"/>
              <w:rPr>
                <w:rFonts w:cstheme="minorHAnsi"/>
                <w:bCs/>
                <w:sz w:val="20"/>
                <w:szCs w:val="20"/>
              </w:rPr>
            </w:pPr>
          </w:p>
        </w:tc>
      </w:tr>
      <w:tr w:rsidR="000F0C86" w:rsidRPr="00536FF3" w14:paraId="7347FE8F" w14:textId="77777777" w:rsidTr="00367A46">
        <w:trPr>
          <w:trHeight w:val="290"/>
          <w:jc w:val="center"/>
        </w:trPr>
        <w:tc>
          <w:tcPr>
            <w:tcW w:w="18711" w:type="dxa"/>
            <w:vAlign w:val="center"/>
          </w:tcPr>
          <w:p w14:paraId="4FD285EF" w14:textId="4A5A8710" w:rsidR="00825149" w:rsidRDefault="00B15C05" w:rsidP="00B15C05">
            <w:pPr>
              <w:jc w:val="center"/>
              <w:rPr>
                <w:rFonts w:cstheme="minorHAnsi"/>
                <w:b/>
                <w:bCs/>
                <w:sz w:val="20"/>
                <w:szCs w:val="20"/>
              </w:rPr>
            </w:pPr>
            <w:r>
              <w:rPr>
                <w:rFonts w:cstheme="minorHAnsi"/>
                <w:b/>
                <w:bCs/>
                <w:sz w:val="20"/>
                <w:szCs w:val="20"/>
              </w:rPr>
              <w:t>-</w:t>
            </w:r>
          </w:p>
        </w:tc>
        <w:tc>
          <w:tcPr>
            <w:tcW w:w="18711" w:type="dxa"/>
          </w:tcPr>
          <w:p w14:paraId="622C77A3" w14:textId="77777777" w:rsidR="00825149" w:rsidRDefault="00825149" w:rsidP="00031D48">
            <w:pPr>
              <w:spacing w:line="23" w:lineRule="atLeast"/>
              <w:ind w:right="127"/>
              <w:jc w:val="both"/>
              <w:rPr>
                <w:rFonts w:cstheme="minorHAnsi"/>
                <w:bCs/>
                <w:sz w:val="20"/>
                <w:szCs w:val="20"/>
              </w:rPr>
            </w:pPr>
          </w:p>
          <w:p w14:paraId="219F6BF1" w14:textId="68179869" w:rsidR="002E3F48" w:rsidRPr="00B15C05" w:rsidRDefault="00B15C05" w:rsidP="00D76BF5">
            <w:pPr>
              <w:tabs>
                <w:tab w:val="left" w:pos="6133"/>
              </w:tabs>
              <w:spacing w:line="276" w:lineRule="auto"/>
              <w:ind w:left="181" w:right="176"/>
              <w:jc w:val="both"/>
              <w:rPr>
                <w:rFonts w:cstheme="minorHAnsi"/>
                <w:color w:val="2F5496" w:themeColor="accent5" w:themeShade="BF"/>
                <w:sz w:val="20"/>
                <w:szCs w:val="20"/>
              </w:rPr>
            </w:pPr>
            <w:r w:rsidRPr="00020EF2">
              <w:rPr>
                <w:rFonts w:cstheme="minorHAnsi"/>
                <w:b/>
                <w:color w:val="2F5496" w:themeColor="accent5" w:themeShade="BF"/>
                <w:sz w:val="20"/>
                <w:szCs w:val="20"/>
              </w:rPr>
              <w:t>Artículo 4.15.</w:t>
            </w:r>
            <w:r>
              <w:rPr>
                <w:rFonts w:cstheme="minorHAnsi"/>
                <w:b/>
                <w:color w:val="2F5496" w:themeColor="accent5" w:themeShade="BF"/>
                <w:sz w:val="20"/>
                <w:szCs w:val="20"/>
              </w:rPr>
              <w:t>9</w:t>
            </w:r>
            <w:r w:rsidRPr="00020EF2">
              <w:rPr>
                <w:rFonts w:cstheme="minorHAnsi"/>
                <w:b/>
                <w:color w:val="2F5496" w:themeColor="accent5" w:themeShade="BF"/>
                <w:sz w:val="20"/>
                <w:szCs w:val="20"/>
              </w:rPr>
              <w:t>.</w:t>
            </w:r>
            <w:r w:rsidRPr="00020EF2">
              <w:rPr>
                <w:rFonts w:cstheme="minorHAnsi"/>
                <w:color w:val="2F5496" w:themeColor="accent5" w:themeShade="BF"/>
                <w:sz w:val="20"/>
                <w:szCs w:val="20"/>
              </w:rPr>
              <w:t xml:space="preserve">      </w:t>
            </w:r>
            <w:r w:rsidR="002E3F48" w:rsidRPr="002E3F48">
              <w:rPr>
                <w:rFonts w:cstheme="minorHAnsi"/>
                <w:color w:val="2F5496" w:themeColor="accent5" w:themeShade="BF"/>
                <w:sz w:val="20"/>
                <w:szCs w:val="20"/>
              </w:rPr>
              <w:t>Los edificios señalados en este Capítulo deberán cumplir las normas relativas a las condiciones de seguridad contra incendio contenidas en el Capítulo 3 de este mismo Título, y para ese mismo fin, las piezas o habitaciones y los recintos de uso común de estos edificios serán consideradas como unidades funcionales independientes.</w:t>
            </w:r>
          </w:p>
          <w:p w14:paraId="5A690E05" w14:textId="5B5177F9" w:rsidR="007A184A" w:rsidRPr="004E04FE" w:rsidRDefault="007A184A" w:rsidP="00031D48">
            <w:pPr>
              <w:spacing w:line="23" w:lineRule="atLeast"/>
              <w:ind w:right="127"/>
              <w:jc w:val="both"/>
              <w:rPr>
                <w:rFonts w:cstheme="minorHAnsi"/>
                <w:bCs/>
                <w:sz w:val="20"/>
                <w:szCs w:val="20"/>
              </w:rPr>
            </w:pPr>
          </w:p>
        </w:tc>
        <w:tc>
          <w:tcPr>
            <w:tcW w:w="18711" w:type="dxa"/>
          </w:tcPr>
          <w:p w14:paraId="0B4BBAC0" w14:textId="77777777" w:rsidR="00825149" w:rsidRPr="004E04FE" w:rsidRDefault="00825149" w:rsidP="00ED1156">
            <w:pPr>
              <w:ind w:right="127"/>
              <w:jc w:val="both"/>
              <w:rPr>
                <w:rFonts w:cstheme="minorHAnsi"/>
                <w:bCs/>
                <w:sz w:val="20"/>
                <w:szCs w:val="20"/>
              </w:rPr>
            </w:pPr>
          </w:p>
        </w:tc>
      </w:tr>
      <w:tr w:rsidR="000F0C86" w:rsidRPr="00536FF3" w14:paraId="53E9E262" w14:textId="77777777" w:rsidTr="00367A46">
        <w:trPr>
          <w:trHeight w:val="290"/>
          <w:jc w:val="center"/>
        </w:trPr>
        <w:tc>
          <w:tcPr>
            <w:tcW w:w="18711" w:type="dxa"/>
            <w:vAlign w:val="center"/>
          </w:tcPr>
          <w:p w14:paraId="54809807" w14:textId="77777777" w:rsidR="00B15C05" w:rsidRDefault="00B15C05" w:rsidP="00B15C05">
            <w:pPr>
              <w:jc w:val="center"/>
              <w:rPr>
                <w:rFonts w:cstheme="minorHAnsi"/>
                <w:b/>
                <w:bCs/>
                <w:sz w:val="20"/>
                <w:szCs w:val="20"/>
              </w:rPr>
            </w:pPr>
          </w:p>
        </w:tc>
        <w:tc>
          <w:tcPr>
            <w:tcW w:w="18711" w:type="dxa"/>
          </w:tcPr>
          <w:p w14:paraId="50C887DC" w14:textId="12211BA9" w:rsidR="002E3F48" w:rsidRPr="00D76BF5" w:rsidRDefault="00B15C05" w:rsidP="00D76BF5">
            <w:pPr>
              <w:tabs>
                <w:tab w:val="left" w:pos="6133"/>
              </w:tabs>
              <w:spacing w:line="276" w:lineRule="auto"/>
              <w:ind w:left="181" w:right="176"/>
              <w:jc w:val="both"/>
              <w:rPr>
                <w:rFonts w:cstheme="minorHAnsi"/>
                <w:color w:val="2F5496" w:themeColor="accent5" w:themeShade="BF"/>
                <w:sz w:val="20"/>
                <w:szCs w:val="20"/>
              </w:rPr>
            </w:pPr>
            <w:r w:rsidRPr="00D76BF5">
              <w:rPr>
                <w:rFonts w:cstheme="minorHAnsi"/>
                <w:b/>
                <w:color w:val="2F5496" w:themeColor="accent5" w:themeShade="BF"/>
                <w:sz w:val="20"/>
                <w:szCs w:val="20"/>
              </w:rPr>
              <w:t>Artículo 4.15.10.</w:t>
            </w:r>
            <w:r w:rsidRPr="00D76BF5">
              <w:rPr>
                <w:rFonts w:cstheme="minorHAnsi"/>
                <w:color w:val="2F5496" w:themeColor="accent5" w:themeShade="BF"/>
                <w:sz w:val="20"/>
                <w:szCs w:val="20"/>
              </w:rPr>
              <w:t xml:space="preserve">      </w:t>
            </w:r>
            <w:r w:rsidR="002E3F48" w:rsidRPr="00D76BF5">
              <w:rPr>
                <w:rFonts w:cstheme="minorHAnsi"/>
                <w:color w:val="2F5496" w:themeColor="accent5" w:themeShade="BF"/>
                <w:sz w:val="20"/>
                <w:szCs w:val="20"/>
              </w:rPr>
              <w:t>Los edificios señalados en este Capítulo deberán considerar un proyecto de cálculo estructural conforme al artículo 5.1.7. de esta Ordenanza. Cuando el edificio tenga una altura de 3 o más pisos corresponderá la contratación de Revisor de Proyecto de Cálculo Estructural.</w:t>
            </w:r>
          </w:p>
          <w:p w14:paraId="6455237A" w14:textId="6B5FAEF9" w:rsidR="002E3F48" w:rsidRPr="00D76BF5" w:rsidRDefault="002E3F48" w:rsidP="00D76BF5">
            <w:pPr>
              <w:tabs>
                <w:tab w:val="left" w:pos="6133"/>
              </w:tabs>
              <w:spacing w:line="276" w:lineRule="auto"/>
              <w:ind w:left="179" w:right="177"/>
              <w:jc w:val="both"/>
              <w:rPr>
                <w:rFonts w:cstheme="minorHAnsi"/>
                <w:color w:val="2F5496" w:themeColor="accent5" w:themeShade="BF"/>
                <w:sz w:val="20"/>
                <w:szCs w:val="20"/>
              </w:rPr>
            </w:pPr>
          </w:p>
        </w:tc>
        <w:tc>
          <w:tcPr>
            <w:tcW w:w="18711" w:type="dxa"/>
          </w:tcPr>
          <w:p w14:paraId="313EDE7B" w14:textId="77777777" w:rsidR="00B15C05" w:rsidRPr="004E04FE" w:rsidRDefault="00B15C05" w:rsidP="00ED1156">
            <w:pPr>
              <w:ind w:right="127"/>
              <w:jc w:val="both"/>
              <w:rPr>
                <w:rFonts w:cstheme="minorHAnsi"/>
                <w:bCs/>
                <w:sz w:val="20"/>
                <w:szCs w:val="20"/>
              </w:rPr>
            </w:pPr>
          </w:p>
        </w:tc>
      </w:tr>
      <w:tr w:rsidR="000F0C86" w:rsidRPr="00536FF3" w14:paraId="1E6B0DC6" w14:textId="77777777" w:rsidTr="00367A46">
        <w:trPr>
          <w:trHeight w:val="290"/>
          <w:jc w:val="center"/>
        </w:trPr>
        <w:tc>
          <w:tcPr>
            <w:tcW w:w="18711" w:type="dxa"/>
            <w:vAlign w:val="center"/>
          </w:tcPr>
          <w:p w14:paraId="6A682036" w14:textId="77777777" w:rsidR="002E3F48" w:rsidRDefault="002E3F48" w:rsidP="00B15C05">
            <w:pPr>
              <w:jc w:val="center"/>
              <w:rPr>
                <w:rFonts w:cstheme="minorHAnsi"/>
                <w:b/>
                <w:bCs/>
                <w:sz w:val="20"/>
                <w:szCs w:val="20"/>
              </w:rPr>
            </w:pPr>
          </w:p>
        </w:tc>
        <w:tc>
          <w:tcPr>
            <w:tcW w:w="18711" w:type="dxa"/>
          </w:tcPr>
          <w:p w14:paraId="61894A98" w14:textId="77777777" w:rsidR="002E3F48" w:rsidRPr="00D76BF5" w:rsidRDefault="002E3F48" w:rsidP="00D76BF5">
            <w:pPr>
              <w:tabs>
                <w:tab w:val="left" w:pos="6133"/>
              </w:tabs>
              <w:spacing w:line="276" w:lineRule="auto"/>
              <w:ind w:left="181" w:right="176"/>
              <w:jc w:val="both"/>
              <w:rPr>
                <w:rFonts w:cstheme="minorHAnsi"/>
                <w:color w:val="2F5496" w:themeColor="accent5" w:themeShade="BF"/>
                <w:sz w:val="20"/>
                <w:szCs w:val="20"/>
              </w:rPr>
            </w:pPr>
          </w:p>
          <w:p w14:paraId="24BDA6B6" w14:textId="19CAC6CF" w:rsidR="002E3F48" w:rsidRPr="00D76BF5" w:rsidRDefault="002E3F48" w:rsidP="00D76BF5">
            <w:pPr>
              <w:tabs>
                <w:tab w:val="left" w:pos="6133"/>
              </w:tabs>
              <w:spacing w:line="276" w:lineRule="auto"/>
              <w:ind w:left="181" w:right="176"/>
              <w:jc w:val="both"/>
              <w:rPr>
                <w:rFonts w:cstheme="minorHAnsi"/>
                <w:color w:val="2F5496" w:themeColor="accent5" w:themeShade="BF"/>
                <w:sz w:val="20"/>
                <w:szCs w:val="20"/>
              </w:rPr>
            </w:pPr>
            <w:r w:rsidRPr="00D76BF5">
              <w:rPr>
                <w:rFonts w:cstheme="minorHAnsi"/>
                <w:b/>
                <w:color w:val="2F5496" w:themeColor="accent5" w:themeShade="BF"/>
                <w:sz w:val="20"/>
                <w:szCs w:val="20"/>
              </w:rPr>
              <w:t>Artículo 4.15.11</w:t>
            </w:r>
            <w:r w:rsidRPr="00D76BF5">
              <w:rPr>
                <w:rFonts w:cstheme="minorHAnsi"/>
                <w:color w:val="2F5496" w:themeColor="accent5" w:themeShade="BF"/>
                <w:sz w:val="20"/>
                <w:szCs w:val="20"/>
              </w:rPr>
              <w:t>.      Los edificios señalados en este Capítulo deberán dar cumplimiento a las normas aplicables a las instalaciones domiciliarias de agua potable y alcantarillado, electricidad, gas, telecomunicaciones u otras que correspondan. Si consideran ascensores, se deberán cumplir las disposiciones de los artículos 4.1.11. y 5.9.5. de esta Ordenanza.</w:t>
            </w:r>
          </w:p>
          <w:p w14:paraId="37A8979A" w14:textId="2D28334B" w:rsidR="002E3F48" w:rsidRPr="00D76BF5" w:rsidRDefault="002E3F48" w:rsidP="00D76BF5">
            <w:pPr>
              <w:tabs>
                <w:tab w:val="left" w:pos="6133"/>
              </w:tabs>
              <w:spacing w:line="276" w:lineRule="auto"/>
              <w:ind w:left="181" w:right="176"/>
              <w:jc w:val="both"/>
              <w:rPr>
                <w:rFonts w:cstheme="minorHAnsi"/>
                <w:color w:val="2F5496" w:themeColor="accent5" w:themeShade="BF"/>
                <w:sz w:val="20"/>
                <w:szCs w:val="20"/>
              </w:rPr>
            </w:pPr>
          </w:p>
        </w:tc>
        <w:tc>
          <w:tcPr>
            <w:tcW w:w="18711" w:type="dxa"/>
          </w:tcPr>
          <w:p w14:paraId="59CCBC92" w14:textId="77777777" w:rsidR="002E3F48" w:rsidRPr="004E04FE" w:rsidRDefault="002E3F48" w:rsidP="00ED1156">
            <w:pPr>
              <w:ind w:right="127"/>
              <w:jc w:val="both"/>
              <w:rPr>
                <w:rFonts w:cstheme="minorHAnsi"/>
                <w:bCs/>
                <w:sz w:val="20"/>
                <w:szCs w:val="20"/>
              </w:rPr>
            </w:pPr>
          </w:p>
        </w:tc>
      </w:tr>
      <w:tr w:rsidR="000F0C86" w:rsidRPr="00536FF3" w14:paraId="00A5C04A" w14:textId="77777777" w:rsidTr="00367A46">
        <w:trPr>
          <w:trHeight w:val="987"/>
          <w:jc w:val="center"/>
        </w:trPr>
        <w:tc>
          <w:tcPr>
            <w:tcW w:w="18711" w:type="dxa"/>
            <w:vAlign w:val="center"/>
          </w:tcPr>
          <w:p w14:paraId="179166FC" w14:textId="77777777" w:rsidR="00B15C05" w:rsidRDefault="00B15C05" w:rsidP="00B15C05">
            <w:pPr>
              <w:jc w:val="center"/>
              <w:rPr>
                <w:rFonts w:cstheme="minorHAnsi"/>
                <w:b/>
                <w:bCs/>
                <w:sz w:val="20"/>
                <w:szCs w:val="20"/>
              </w:rPr>
            </w:pPr>
          </w:p>
        </w:tc>
        <w:tc>
          <w:tcPr>
            <w:tcW w:w="18711" w:type="dxa"/>
          </w:tcPr>
          <w:p w14:paraId="2F7397F0" w14:textId="77777777" w:rsidR="00B15C05" w:rsidRPr="00B15C05" w:rsidRDefault="00B15C05" w:rsidP="00ED1156">
            <w:pPr>
              <w:ind w:right="127"/>
              <w:jc w:val="both"/>
              <w:rPr>
                <w:rFonts w:cstheme="minorHAnsi"/>
                <w:bCs/>
                <w:sz w:val="20"/>
                <w:szCs w:val="20"/>
              </w:rPr>
            </w:pPr>
          </w:p>
          <w:p w14:paraId="63B8F9EC" w14:textId="2DA7E376" w:rsidR="00B15C05" w:rsidRPr="00B15C05" w:rsidRDefault="00B15C05" w:rsidP="00D76BF5">
            <w:pPr>
              <w:tabs>
                <w:tab w:val="left" w:pos="6133"/>
              </w:tabs>
              <w:spacing w:line="276" w:lineRule="auto"/>
              <w:ind w:left="181" w:right="176"/>
              <w:jc w:val="both"/>
              <w:rPr>
                <w:rFonts w:cstheme="minorHAnsi"/>
                <w:color w:val="2F5496" w:themeColor="accent5" w:themeShade="BF"/>
                <w:sz w:val="20"/>
                <w:szCs w:val="20"/>
              </w:rPr>
            </w:pPr>
            <w:r w:rsidRPr="00B15C05">
              <w:rPr>
                <w:rFonts w:cstheme="minorHAnsi"/>
                <w:b/>
                <w:color w:val="2F5496" w:themeColor="accent5" w:themeShade="BF"/>
                <w:sz w:val="20"/>
                <w:szCs w:val="20"/>
              </w:rPr>
              <w:t>Artículo 4.15.1</w:t>
            </w:r>
            <w:r w:rsidR="002E3F48">
              <w:rPr>
                <w:rFonts w:cstheme="minorHAnsi"/>
                <w:b/>
                <w:color w:val="2F5496" w:themeColor="accent5" w:themeShade="BF"/>
                <w:sz w:val="20"/>
                <w:szCs w:val="20"/>
              </w:rPr>
              <w:t>2</w:t>
            </w:r>
            <w:r w:rsidRPr="00B15C05">
              <w:rPr>
                <w:rFonts w:cstheme="minorHAnsi"/>
                <w:b/>
                <w:color w:val="2F5496" w:themeColor="accent5" w:themeShade="BF"/>
                <w:sz w:val="20"/>
                <w:szCs w:val="20"/>
              </w:rPr>
              <w:t>.</w:t>
            </w:r>
            <w:r w:rsidRPr="00B15C05">
              <w:rPr>
                <w:rFonts w:cstheme="minorHAnsi"/>
                <w:color w:val="2F5496" w:themeColor="accent5" w:themeShade="BF"/>
                <w:sz w:val="20"/>
                <w:szCs w:val="20"/>
              </w:rPr>
              <w:t xml:space="preserve">      Los proyectos señalados en este Capítulo deberán dar cumplimiento a la dotación de estacionamientos que se indica en la Tabla a continuación:</w:t>
            </w:r>
          </w:p>
          <w:p w14:paraId="342BEC8A" w14:textId="77777777" w:rsidR="00B15C05" w:rsidRPr="00B15C05" w:rsidRDefault="00B15C05" w:rsidP="00ED1156">
            <w:pPr>
              <w:ind w:right="127"/>
              <w:jc w:val="both"/>
              <w:rPr>
                <w:rFonts w:cstheme="minorHAnsi"/>
                <w:color w:val="2F5496" w:themeColor="accent5" w:themeShade="BF"/>
                <w:sz w:val="20"/>
                <w:szCs w:val="20"/>
              </w:rPr>
            </w:pPr>
          </w:p>
          <w:p w14:paraId="2F43505E" w14:textId="18A8457F" w:rsidR="00B15C05" w:rsidRPr="00B15C05" w:rsidRDefault="00B15C05" w:rsidP="00B15C05">
            <w:pPr>
              <w:tabs>
                <w:tab w:val="left" w:pos="1418"/>
              </w:tabs>
              <w:spacing w:line="312" w:lineRule="auto"/>
              <w:jc w:val="center"/>
              <w:rPr>
                <w:rFonts w:cstheme="minorHAnsi"/>
                <w:b/>
                <w:color w:val="2F5496" w:themeColor="accent5" w:themeShade="BF"/>
                <w:sz w:val="20"/>
                <w:szCs w:val="20"/>
              </w:rPr>
            </w:pPr>
            <w:r w:rsidRPr="00B15C05">
              <w:rPr>
                <w:rFonts w:cstheme="minorHAnsi"/>
                <w:b/>
                <w:color w:val="2F5496" w:themeColor="accent5" w:themeShade="BF"/>
                <w:sz w:val="20"/>
                <w:szCs w:val="20"/>
              </w:rPr>
              <w:t>EXIGENCIA DE ESTACIONAMIENTOSPOR CARGA DE OCUPACIÓN</w:t>
            </w:r>
          </w:p>
          <w:p w14:paraId="446EFD84" w14:textId="77777777" w:rsidR="00B15C05" w:rsidRPr="00B15C05" w:rsidRDefault="00B15C05" w:rsidP="002E3F48">
            <w:pPr>
              <w:tabs>
                <w:tab w:val="left" w:pos="1418"/>
              </w:tabs>
              <w:ind w:left="1418"/>
              <w:jc w:val="center"/>
              <w:rPr>
                <w:rFonts w:cstheme="minorHAnsi"/>
                <w:b/>
                <w:sz w:val="20"/>
                <w:szCs w:val="20"/>
              </w:rPr>
            </w:pPr>
          </w:p>
          <w:tbl>
            <w:tblPr>
              <w:tblStyle w:val="Tablaconcuadrcula"/>
              <w:tblW w:w="6156" w:type="dxa"/>
              <w:tblInd w:w="21" w:type="dxa"/>
              <w:tblLayout w:type="fixed"/>
              <w:tblLook w:val="04A0" w:firstRow="1" w:lastRow="0" w:firstColumn="1" w:lastColumn="0" w:noHBand="0" w:noVBand="1"/>
            </w:tblPr>
            <w:tblGrid>
              <w:gridCol w:w="1823"/>
              <w:gridCol w:w="2152"/>
              <w:gridCol w:w="2181"/>
            </w:tblGrid>
            <w:tr w:rsidR="00B15C05" w:rsidRPr="00B15C05" w14:paraId="03565413" w14:textId="77777777" w:rsidTr="00367A46">
              <w:trPr>
                <w:trHeight w:val="678"/>
              </w:trPr>
              <w:tc>
                <w:tcPr>
                  <w:tcW w:w="1823" w:type="dxa"/>
                  <w:vAlign w:val="center"/>
                </w:tcPr>
                <w:p w14:paraId="710082D9" w14:textId="77777777" w:rsidR="00B15C05" w:rsidRPr="00B15C05" w:rsidRDefault="00B15C05" w:rsidP="00B15C05">
                  <w:pPr>
                    <w:tabs>
                      <w:tab w:val="left" w:pos="2268"/>
                    </w:tabs>
                    <w:spacing w:line="312" w:lineRule="auto"/>
                    <w:jc w:val="center"/>
                    <w:rPr>
                      <w:rFonts w:cstheme="minorHAnsi"/>
                      <w:b/>
                      <w:color w:val="2F5496" w:themeColor="accent5" w:themeShade="BF"/>
                      <w:sz w:val="18"/>
                      <w:szCs w:val="18"/>
                    </w:rPr>
                  </w:pPr>
                  <w:r w:rsidRPr="00B15C05">
                    <w:rPr>
                      <w:rFonts w:cstheme="minorHAnsi"/>
                      <w:b/>
                      <w:color w:val="2F5496" w:themeColor="accent5" w:themeShade="BF"/>
                      <w:sz w:val="18"/>
                      <w:szCs w:val="18"/>
                    </w:rPr>
                    <w:t>Carga de Ocupación</w:t>
                  </w:r>
                </w:p>
              </w:tc>
              <w:tc>
                <w:tcPr>
                  <w:tcW w:w="2152" w:type="dxa"/>
                  <w:vAlign w:val="center"/>
                </w:tcPr>
                <w:p w14:paraId="3BA8AD21" w14:textId="77777777" w:rsidR="00B15C05" w:rsidRPr="00B15C05" w:rsidRDefault="00B15C05" w:rsidP="00B15C05">
                  <w:pPr>
                    <w:tabs>
                      <w:tab w:val="left" w:pos="2268"/>
                    </w:tabs>
                    <w:spacing w:line="312" w:lineRule="auto"/>
                    <w:jc w:val="center"/>
                    <w:rPr>
                      <w:rFonts w:cstheme="minorHAnsi"/>
                      <w:b/>
                      <w:color w:val="2F5496" w:themeColor="accent5" w:themeShade="BF"/>
                      <w:sz w:val="18"/>
                      <w:szCs w:val="18"/>
                    </w:rPr>
                  </w:pPr>
                  <w:r w:rsidRPr="00B15C05">
                    <w:rPr>
                      <w:rFonts w:cstheme="minorHAnsi"/>
                      <w:b/>
                      <w:color w:val="2F5496" w:themeColor="accent5" w:themeShade="BF"/>
                      <w:sz w:val="18"/>
                      <w:szCs w:val="18"/>
                    </w:rPr>
                    <w:t>Dotación de estacionamientos para vehículos</w:t>
                  </w:r>
                </w:p>
              </w:tc>
              <w:tc>
                <w:tcPr>
                  <w:tcW w:w="2181" w:type="dxa"/>
                  <w:vAlign w:val="center"/>
                </w:tcPr>
                <w:p w14:paraId="51068CD9" w14:textId="77777777" w:rsidR="00B15C05" w:rsidRPr="00B15C05" w:rsidRDefault="00B15C05" w:rsidP="00B15C05">
                  <w:pPr>
                    <w:tabs>
                      <w:tab w:val="left" w:pos="2268"/>
                    </w:tabs>
                    <w:spacing w:line="312" w:lineRule="auto"/>
                    <w:jc w:val="center"/>
                    <w:rPr>
                      <w:rFonts w:cstheme="minorHAnsi"/>
                      <w:b/>
                      <w:color w:val="2F5496" w:themeColor="accent5" w:themeShade="BF"/>
                      <w:sz w:val="18"/>
                      <w:szCs w:val="18"/>
                    </w:rPr>
                  </w:pPr>
                  <w:r w:rsidRPr="00B15C05">
                    <w:rPr>
                      <w:rFonts w:cstheme="minorHAnsi"/>
                      <w:b/>
                      <w:color w:val="2F5496" w:themeColor="accent5" w:themeShade="BF"/>
                      <w:sz w:val="18"/>
                      <w:szCs w:val="18"/>
                    </w:rPr>
                    <w:t>Dotación de estacionamientos para bicicletas</w:t>
                  </w:r>
                </w:p>
              </w:tc>
            </w:tr>
            <w:tr w:rsidR="00B15C05" w:rsidRPr="00B15C05" w14:paraId="1DD29B36" w14:textId="77777777" w:rsidTr="00367A46">
              <w:trPr>
                <w:trHeight w:val="547"/>
              </w:trPr>
              <w:tc>
                <w:tcPr>
                  <w:tcW w:w="1823" w:type="dxa"/>
                  <w:vAlign w:val="center"/>
                </w:tcPr>
                <w:p w14:paraId="21E41E51" w14:textId="77777777" w:rsidR="00B15C05" w:rsidRPr="00B15C05" w:rsidRDefault="00B15C05" w:rsidP="00B15C05">
                  <w:pPr>
                    <w:tabs>
                      <w:tab w:val="left" w:pos="2268"/>
                    </w:tabs>
                    <w:spacing w:line="312" w:lineRule="auto"/>
                    <w:rPr>
                      <w:rFonts w:cstheme="minorHAnsi"/>
                      <w:color w:val="2F5496" w:themeColor="accent5" w:themeShade="BF"/>
                      <w:sz w:val="18"/>
                      <w:szCs w:val="18"/>
                    </w:rPr>
                  </w:pPr>
                  <w:r w:rsidRPr="00B15C05">
                    <w:rPr>
                      <w:rFonts w:cstheme="minorHAnsi"/>
                      <w:color w:val="2F5496" w:themeColor="accent5" w:themeShade="BF"/>
                      <w:sz w:val="18"/>
                      <w:szCs w:val="18"/>
                    </w:rPr>
                    <w:t>Hasta 20 ocupantes</w:t>
                  </w:r>
                </w:p>
              </w:tc>
              <w:tc>
                <w:tcPr>
                  <w:tcW w:w="2152" w:type="dxa"/>
                  <w:vAlign w:val="center"/>
                </w:tcPr>
                <w:p w14:paraId="476BD2DB" w14:textId="77777777" w:rsidR="00B15C05" w:rsidRPr="00B15C05" w:rsidRDefault="00B15C05" w:rsidP="00B15C05">
                  <w:pPr>
                    <w:tabs>
                      <w:tab w:val="left" w:pos="2268"/>
                    </w:tabs>
                    <w:spacing w:line="312" w:lineRule="auto"/>
                    <w:jc w:val="center"/>
                    <w:rPr>
                      <w:rFonts w:cstheme="minorHAnsi"/>
                      <w:color w:val="2F5496" w:themeColor="accent5" w:themeShade="BF"/>
                      <w:sz w:val="18"/>
                      <w:szCs w:val="18"/>
                    </w:rPr>
                  </w:pPr>
                  <w:r w:rsidRPr="00B15C05">
                    <w:rPr>
                      <w:rFonts w:cstheme="minorHAnsi"/>
                      <w:color w:val="2F5496" w:themeColor="accent5" w:themeShade="BF"/>
                      <w:sz w:val="18"/>
                      <w:szCs w:val="18"/>
                    </w:rPr>
                    <w:t>1 estacionamiento</w:t>
                  </w:r>
                </w:p>
              </w:tc>
              <w:tc>
                <w:tcPr>
                  <w:tcW w:w="2181" w:type="dxa"/>
                  <w:vAlign w:val="center"/>
                </w:tcPr>
                <w:p w14:paraId="0E84F5B3" w14:textId="77777777" w:rsidR="00B15C05" w:rsidRPr="00B15C05" w:rsidRDefault="00B15C05" w:rsidP="00B15C05">
                  <w:pPr>
                    <w:tabs>
                      <w:tab w:val="left" w:pos="2268"/>
                    </w:tabs>
                    <w:spacing w:line="312" w:lineRule="auto"/>
                    <w:jc w:val="center"/>
                    <w:rPr>
                      <w:rFonts w:cstheme="minorHAnsi"/>
                      <w:color w:val="2F5496" w:themeColor="accent5" w:themeShade="BF"/>
                      <w:sz w:val="18"/>
                      <w:szCs w:val="18"/>
                    </w:rPr>
                  </w:pPr>
                  <w:r w:rsidRPr="00B15C05">
                    <w:rPr>
                      <w:rFonts w:cstheme="minorHAnsi"/>
                      <w:color w:val="2F5496" w:themeColor="accent5" w:themeShade="BF"/>
                      <w:sz w:val="18"/>
                      <w:szCs w:val="18"/>
                    </w:rPr>
                    <w:t>4 estacionamientos</w:t>
                  </w:r>
                </w:p>
              </w:tc>
            </w:tr>
            <w:tr w:rsidR="00B15C05" w:rsidRPr="00B15C05" w14:paraId="5082DFD3" w14:textId="77777777" w:rsidTr="00367A46">
              <w:trPr>
                <w:trHeight w:val="681"/>
              </w:trPr>
              <w:tc>
                <w:tcPr>
                  <w:tcW w:w="1823" w:type="dxa"/>
                  <w:vAlign w:val="center"/>
                </w:tcPr>
                <w:p w14:paraId="33992F86" w14:textId="77777777" w:rsidR="00B15C05" w:rsidRPr="00B15C05" w:rsidRDefault="00B15C05" w:rsidP="00B15C05">
                  <w:pPr>
                    <w:tabs>
                      <w:tab w:val="left" w:pos="2268"/>
                    </w:tabs>
                    <w:spacing w:line="312" w:lineRule="auto"/>
                    <w:rPr>
                      <w:rFonts w:cstheme="minorHAnsi"/>
                      <w:color w:val="2F5496" w:themeColor="accent5" w:themeShade="BF"/>
                      <w:sz w:val="18"/>
                      <w:szCs w:val="18"/>
                    </w:rPr>
                  </w:pPr>
                  <w:r w:rsidRPr="00B15C05">
                    <w:rPr>
                      <w:rFonts w:cstheme="minorHAnsi"/>
                      <w:color w:val="2F5496" w:themeColor="accent5" w:themeShade="BF"/>
                      <w:sz w:val="18"/>
                      <w:szCs w:val="18"/>
                    </w:rPr>
                    <w:t>Sobre 20 ocupantes</w:t>
                  </w:r>
                </w:p>
              </w:tc>
              <w:tc>
                <w:tcPr>
                  <w:tcW w:w="2152" w:type="dxa"/>
                  <w:vAlign w:val="center"/>
                </w:tcPr>
                <w:p w14:paraId="16C0F768" w14:textId="77777777" w:rsidR="00B15C05" w:rsidRPr="00B15C05" w:rsidRDefault="00B15C05" w:rsidP="00B15C05">
                  <w:pPr>
                    <w:tabs>
                      <w:tab w:val="left" w:pos="2268"/>
                    </w:tabs>
                    <w:spacing w:line="312" w:lineRule="auto"/>
                    <w:jc w:val="center"/>
                    <w:rPr>
                      <w:rFonts w:cstheme="minorHAnsi"/>
                      <w:color w:val="2F5496" w:themeColor="accent5" w:themeShade="BF"/>
                      <w:sz w:val="18"/>
                      <w:szCs w:val="18"/>
                    </w:rPr>
                  </w:pPr>
                  <w:r w:rsidRPr="00B15C05">
                    <w:rPr>
                      <w:rFonts w:cstheme="minorHAnsi"/>
                      <w:color w:val="2F5496" w:themeColor="accent5" w:themeShade="BF"/>
                      <w:sz w:val="18"/>
                      <w:szCs w:val="18"/>
                    </w:rPr>
                    <w:t>1 estacionamiento adicional por cada 6 ocupantes</w:t>
                  </w:r>
                </w:p>
                <w:p w14:paraId="03E00E74" w14:textId="77777777" w:rsidR="00B15C05" w:rsidRPr="00B15C05" w:rsidRDefault="00B15C05" w:rsidP="00B15C05">
                  <w:pPr>
                    <w:tabs>
                      <w:tab w:val="left" w:pos="2268"/>
                    </w:tabs>
                    <w:spacing w:line="312" w:lineRule="auto"/>
                    <w:jc w:val="center"/>
                    <w:rPr>
                      <w:rFonts w:cstheme="minorHAnsi"/>
                      <w:color w:val="2F5496" w:themeColor="accent5" w:themeShade="BF"/>
                      <w:sz w:val="18"/>
                      <w:szCs w:val="18"/>
                    </w:rPr>
                  </w:pPr>
                  <w:r w:rsidRPr="00B15C05">
                    <w:rPr>
                      <w:rFonts w:cstheme="minorHAnsi"/>
                      <w:color w:val="2F5496" w:themeColor="accent5" w:themeShade="BF"/>
                      <w:sz w:val="18"/>
                      <w:szCs w:val="18"/>
                    </w:rPr>
                    <w:t>(con un mínimo de 1 estacionamiento para personas con discapacidad)</w:t>
                  </w:r>
                </w:p>
              </w:tc>
              <w:tc>
                <w:tcPr>
                  <w:tcW w:w="2181" w:type="dxa"/>
                  <w:vAlign w:val="center"/>
                </w:tcPr>
                <w:p w14:paraId="4597180F" w14:textId="77777777" w:rsidR="00B15C05" w:rsidRPr="00B15C05" w:rsidRDefault="00B15C05" w:rsidP="00B15C05">
                  <w:pPr>
                    <w:tabs>
                      <w:tab w:val="left" w:pos="2268"/>
                    </w:tabs>
                    <w:spacing w:line="312" w:lineRule="auto"/>
                    <w:jc w:val="center"/>
                    <w:rPr>
                      <w:rFonts w:cstheme="minorHAnsi"/>
                      <w:color w:val="2F5496" w:themeColor="accent5" w:themeShade="BF"/>
                      <w:sz w:val="18"/>
                      <w:szCs w:val="18"/>
                    </w:rPr>
                  </w:pPr>
                  <w:r w:rsidRPr="00B15C05">
                    <w:rPr>
                      <w:rFonts w:cstheme="minorHAnsi"/>
                      <w:color w:val="2F5496" w:themeColor="accent5" w:themeShade="BF"/>
                      <w:sz w:val="18"/>
                      <w:szCs w:val="18"/>
                    </w:rPr>
                    <w:t>1 estacionamiento adicional por cada 5 ocupantes.</w:t>
                  </w:r>
                </w:p>
              </w:tc>
            </w:tr>
          </w:tbl>
          <w:p w14:paraId="40289DE6" w14:textId="27AF250E" w:rsidR="009C5230" w:rsidRPr="00B15C05" w:rsidRDefault="009C5230" w:rsidP="002E3F48">
            <w:pPr>
              <w:tabs>
                <w:tab w:val="left" w:pos="6133"/>
              </w:tabs>
              <w:spacing w:line="276" w:lineRule="auto"/>
              <w:ind w:left="179" w:right="177"/>
              <w:jc w:val="both"/>
              <w:rPr>
                <w:rFonts w:cstheme="minorHAnsi"/>
                <w:bCs/>
                <w:sz w:val="20"/>
                <w:szCs w:val="20"/>
              </w:rPr>
            </w:pPr>
          </w:p>
        </w:tc>
        <w:tc>
          <w:tcPr>
            <w:tcW w:w="18711" w:type="dxa"/>
          </w:tcPr>
          <w:p w14:paraId="713E5DEA" w14:textId="77777777" w:rsidR="00B15C05" w:rsidRPr="004E04FE" w:rsidRDefault="00B15C05" w:rsidP="00ED1156">
            <w:pPr>
              <w:ind w:right="127"/>
              <w:jc w:val="both"/>
              <w:rPr>
                <w:rFonts w:cstheme="minorHAnsi"/>
                <w:bCs/>
                <w:sz w:val="20"/>
                <w:szCs w:val="20"/>
              </w:rPr>
            </w:pPr>
          </w:p>
        </w:tc>
      </w:tr>
      <w:tr w:rsidR="000F0C86" w:rsidRPr="00536FF3" w14:paraId="537B3ED5" w14:textId="77777777" w:rsidTr="00D76BF5">
        <w:trPr>
          <w:trHeight w:val="2262"/>
          <w:jc w:val="center"/>
        </w:trPr>
        <w:tc>
          <w:tcPr>
            <w:tcW w:w="18711" w:type="dxa"/>
          </w:tcPr>
          <w:p w14:paraId="1D93F55C" w14:textId="77777777" w:rsidR="002E3F48" w:rsidRDefault="002E3F48" w:rsidP="00367A46">
            <w:pPr>
              <w:rPr>
                <w:rFonts w:cstheme="minorHAnsi"/>
                <w:b/>
                <w:bCs/>
                <w:sz w:val="20"/>
                <w:szCs w:val="20"/>
              </w:rPr>
            </w:pPr>
          </w:p>
        </w:tc>
        <w:tc>
          <w:tcPr>
            <w:tcW w:w="18711" w:type="dxa"/>
          </w:tcPr>
          <w:p w14:paraId="4BB6ED5E" w14:textId="536345BC" w:rsidR="002E3F48" w:rsidRDefault="002E3F48" w:rsidP="00ED1156">
            <w:pPr>
              <w:ind w:right="127"/>
              <w:jc w:val="both"/>
              <w:rPr>
                <w:rFonts w:cstheme="minorHAnsi"/>
                <w:color w:val="2F5496" w:themeColor="accent5" w:themeShade="BF"/>
                <w:sz w:val="20"/>
                <w:szCs w:val="20"/>
              </w:rPr>
            </w:pPr>
          </w:p>
          <w:p w14:paraId="50389BCB" w14:textId="4ABBCAA7" w:rsidR="002E3F48" w:rsidRPr="002E3F48" w:rsidRDefault="002E3F48" w:rsidP="00031D48">
            <w:pPr>
              <w:tabs>
                <w:tab w:val="left" w:pos="6133"/>
              </w:tabs>
              <w:spacing w:line="276" w:lineRule="auto"/>
              <w:ind w:left="181" w:right="176"/>
              <w:jc w:val="both"/>
              <w:rPr>
                <w:rFonts w:cstheme="minorHAnsi"/>
                <w:color w:val="2F5496" w:themeColor="accent5" w:themeShade="BF"/>
                <w:sz w:val="20"/>
                <w:szCs w:val="20"/>
              </w:rPr>
            </w:pPr>
            <w:bookmarkStart w:id="0" w:name="_GoBack"/>
            <w:bookmarkEnd w:id="0"/>
            <w:r w:rsidRPr="002E3F48">
              <w:rPr>
                <w:rFonts w:cstheme="minorHAnsi"/>
                <w:b/>
                <w:color w:val="2F5496" w:themeColor="accent5" w:themeShade="BF"/>
                <w:sz w:val="20"/>
                <w:szCs w:val="20"/>
              </w:rPr>
              <w:t>Artículo 4.15.13.</w:t>
            </w:r>
            <w:r w:rsidRPr="00B15C05">
              <w:rPr>
                <w:rFonts w:cstheme="minorHAnsi"/>
                <w:color w:val="2F5496" w:themeColor="accent5" w:themeShade="BF"/>
                <w:sz w:val="20"/>
                <w:szCs w:val="20"/>
              </w:rPr>
              <w:t xml:space="preserve">      </w:t>
            </w:r>
            <w:r w:rsidR="00D76BF5">
              <w:rPr>
                <w:rFonts w:cstheme="minorHAnsi"/>
                <w:color w:val="2F5496" w:themeColor="accent5" w:themeShade="BF"/>
                <w:sz w:val="20"/>
                <w:szCs w:val="20"/>
              </w:rPr>
              <w:t xml:space="preserve">       </w:t>
            </w:r>
            <w:r w:rsidRPr="002E3F48">
              <w:rPr>
                <w:rFonts w:cstheme="minorHAnsi"/>
                <w:color w:val="2F5496" w:themeColor="accent5" w:themeShade="BF"/>
                <w:sz w:val="20"/>
                <w:szCs w:val="20"/>
              </w:rPr>
              <w:t>La tramitación del permiso para los edificios a los que se refiere este Capítulo se efectuará conforme al procedimiento dispuesto en los numerales 2 y 3 del artículo 5.1.4. de esta Ordenanza para las obras menores, remodelaciones y rehabilitaciones o ampliaciones, si correspondiese, y conforme a lo dispuesto en el artículo 5.1.6. de esta Ordenanza, en caso de obras nueva u ampliaciones cuya superficie sea superior a los 100 m².</w:t>
            </w:r>
          </w:p>
        </w:tc>
        <w:tc>
          <w:tcPr>
            <w:tcW w:w="18711" w:type="dxa"/>
          </w:tcPr>
          <w:p w14:paraId="26BD9EA1" w14:textId="77777777" w:rsidR="002E3F48" w:rsidRPr="004E04FE" w:rsidRDefault="002E3F48" w:rsidP="00ED1156">
            <w:pPr>
              <w:ind w:right="127"/>
              <w:jc w:val="both"/>
              <w:rPr>
                <w:rFonts w:cstheme="minorHAnsi"/>
                <w:bCs/>
                <w:sz w:val="20"/>
                <w:szCs w:val="20"/>
              </w:rPr>
            </w:pPr>
          </w:p>
        </w:tc>
      </w:tr>
      <w:tr w:rsidR="002E3F48" w:rsidRPr="00536FF3" w14:paraId="20948A4B" w14:textId="77777777" w:rsidTr="00367A46">
        <w:trPr>
          <w:trHeight w:val="649"/>
          <w:jc w:val="center"/>
        </w:trPr>
        <w:tc>
          <w:tcPr>
            <w:tcW w:w="18711" w:type="dxa"/>
            <w:gridSpan w:val="3"/>
            <w:vAlign w:val="center"/>
          </w:tcPr>
          <w:p w14:paraId="3AFD4032" w14:textId="69980475" w:rsidR="002E3F48" w:rsidRPr="004E04FE" w:rsidRDefault="00940450" w:rsidP="00940450">
            <w:pPr>
              <w:ind w:right="127"/>
              <w:jc w:val="both"/>
              <w:rPr>
                <w:rFonts w:cstheme="minorHAnsi"/>
                <w:bCs/>
                <w:sz w:val="20"/>
                <w:szCs w:val="20"/>
              </w:rPr>
            </w:pPr>
            <w:r>
              <w:rPr>
                <w:rFonts w:cstheme="minorHAnsi"/>
                <w:b/>
                <w:color w:val="000000"/>
              </w:rPr>
              <w:t>ARTÍCULO 4.1</w:t>
            </w:r>
            <w:r w:rsidR="002E3F48">
              <w:rPr>
                <w:rFonts w:cstheme="minorHAnsi"/>
                <w:b/>
                <w:color w:val="000000"/>
              </w:rPr>
              <w:t>.</w:t>
            </w:r>
            <w:r>
              <w:rPr>
                <w:rFonts w:cstheme="minorHAnsi"/>
                <w:b/>
                <w:color w:val="000000"/>
              </w:rPr>
              <w:t>14</w:t>
            </w:r>
            <w:r w:rsidR="002E3F48">
              <w:rPr>
                <w:rFonts w:cstheme="minorHAnsi"/>
                <w:b/>
                <w:color w:val="000000"/>
              </w:rPr>
              <w:t>.</w:t>
            </w:r>
            <w:r w:rsidR="002E3F48" w:rsidRPr="00F05340">
              <w:rPr>
                <w:rFonts w:cstheme="minorHAnsi"/>
                <w:b/>
                <w:color w:val="000000"/>
              </w:rPr>
              <w:t xml:space="preserve"> </w:t>
            </w:r>
            <w:r w:rsidR="002E3F48">
              <w:rPr>
                <w:rFonts w:cstheme="minorHAnsi"/>
                <w:b/>
                <w:color w:val="000000"/>
              </w:rPr>
              <w:t xml:space="preserve">–  SE </w:t>
            </w:r>
            <w:r>
              <w:rPr>
                <w:rFonts w:cstheme="minorHAnsi"/>
                <w:b/>
                <w:color w:val="000000"/>
              </w:rPr>
              <w:t xml:space="preserve">INCORPORA NUEVO NUMERAL </w:t>
            </w:r>
          </w:p>
        </w:tc>
      </w:tr>
      <w:tr w:rsidR="000F0C86" w:rsidRPr="00536FF3" w14:paraId="5AB925D8" w14:textId="77777777" w:rsidTr="00D76BF5">
        <w:trPr>
          <w:trHeight w:val="5990"/>
          <w:jc w:val="center"/>
        </w:trPr>
        <w:tc>
          <w:tcPr>
            <w:tcW w:w="18711" w:type="dxa"/>
          </w:tcPr>
          <w:p w14:paraId="295DE8E8" w14:textId="77777777" w:rsidR="002E3F48" w:rsidRDefault="002E3F48" w:rsidP="002E3F48">
            <w:pPr>
              <w:jc w:val="center"/>
              <w:rPr>
                <w:rFonts w:cstheme="minorHAnsi"/>
                <w:b/>
                <w:bCs/>
                <w:sz w:val="20"/>
                <w:szCs w:val="20"/>
              </w:rPr>
            </w:pPr>
          </w:p>
          <w:p w14:paraId="63DF5C90" w14:textId="1FE45A0C" w:rsidR="00940450" w:rsidRDefault="00940450" w:rsidP="00A76AE9">
            <w:pPr>
              <w:spacing w:line="276" w:lineRule="auto"/>
              <w:ind w:left="164" w:right="172" w:firstLine="1844"/>
              <w:jc w:val="both"/>
              <w:rPr>
                <w:sz w:val="20"/>
                <w:szCs w:val="20"/>
              </w:rPr>
            </w:pPr>
            <w:r w:rsidRPr="00940450">
              <w:rPr>
                <w:sz w:val="20"/>
                <w:szCs w:val="20"/>
              </w:rPr>
              <w:t>En un mismo edificio colectivo las fachadas de unidades independientes</w:t>
            </w:r>
            <w:r>
              <w:rPr>
                <w:sz w:val="20"/>
                <w:szCs w:val="20"/>
              </w:rPr>
              <w:t xml:space="preserve"> </w:t>
            </w:r>
            <w:r w:rsidRPr="00940450">
              <w:rPr>
                <w:sz w:val="20"/>
                <w:szCs w:val="20"/>
              </w:rPr>
              <w:t>deberán cumplir las siguientes distancias mínimas:</w:t>
            </w:r>
          </w:p>
          <w:p w14:paraId="5BBFC914" w14:textId="77777777" w:rsidR="00940450" w:rsidRPr="00940450" w:rsidRDefault="00940450" w:rsidP="00940450">
            <w:pPr>
              <w:autoSpaceDE w:val="0"/>
              <w:autoSpaceDN w:val="0"/>
              <w:adjustRightInd w:val="0"/>
              <w:jc w:val="both"/>
              <w:rPr>
                <w:sz w:val="20"/>
                <w:szCs w:val="20"/>
              </w:rPr>
            </w:pPr>
          </w:p>
          <w:p w14:paraId="0B36392F" w14:textId="3FC1CE93" w:rsidR="00940450" w:rsidRPr="00940450" w:rsidRDefault="00940450" w:rsidP="00940450">
            <w:pPr>
              <w:pStyle w:val="Prrafodelista"/>
              <w:numPr>
                <w:ilvl w:val="0"/>
                <w:numId w:val="39"/>
              </w:numPr>
              <w:autoSpaceDE w:val="0"/>
              <w:autoSpaceDN w:val="0"/>
              <w:adjustRightInd w:val="0"/>
              <w:ind w:left="447" w:right="169" w:hanging="283"/>
              <w:jc w:val="both"/>
              <w:rPr>
                <w:sz w:val="20"/>
                <w:szCs w:val="20"/>
              </w:rPr>
            </w:pPr>
            <w:r w:rsidRPr="00940450">
              <w:rPr>
                <w:sz w:val="20"/>
                <w:szCs w:val="20"/>
              </w:rPr>
              <w:t>Entre las fachadas con vano de recintos habitables y las fachadas con vano, deberá</w:t>
            </w:r>
            <w:r>
              <w:rPr>
                <w:sz w:val="20"/>
                <w:szCs w:val="20"/>
              </w:rPr>
              <w:t xml:space="preserve"> </w:t>
            </w:r>
            <w:r w:rsidRPr="00940450">
              <w:rPr>
                <w:sz w:val="20"/>
                <w:szCs w:val="20"/>
              </w:rPr>
              <w:t>contemplarse una distancia mínima libre horizontal de 6 metros.</w:t>
            </w:r>
          </w:p>
          <w:p w14:paraId="3D4EECB4" w14:textId="1E33E62D" w:rsidR="00940450" w:rsidRPr="00940450" w:rsidRDefault="00940450" w:rsidP="00940450">
            <w:pPr>
              <w:pStyle w:val="Prrafodelista"/>
              <w:numPr>
                <w:ilvl w:val="0"/>
                <w:numId w:val="39"/>
              </w:numPr>
              <w:autoSpaceDE w:val="0"/>
              <w:autoSpaceDN w:val="0"/>
              <w:adjustRightInd w:val="0"/>
              <w:spacing w:before="120"/>
              <w:ind w:left="448" w:right="170" w:hanging="284"/>
              <w:contextualSpacing w:val="0"/>
              <w:jc w:val="both"/>
              <w:rPr>
                <w:sz w:val="20"/>
                <w:szCs w:val="20"/>
              </w:rPr>
            </w:pPr>
            <w:r w:rsidRPr="00940450">
              <w:rPr>
                <w:sz w:val="20"/>
                <w:szCs w:val="20"/>
              </w:rPr>
              <w:t>Entre las fachadas con vano de recintos habitables y las fachadas sin vano, deberá</w:t>
            </w:r>
            <w:r>
              <w:rPr>
                <w:sz w:val="20"/>
                <w:szCs w:val="20"/>
              </w:rPr>
              <w:t xml:space="preserve"> </w:t>
            </w:r>
            <w:r w:rsidRPr="00940450">
              <w:rPr>
                <w:sz w:val="20"/>
                <w:szCs w:val="20"/>
              </w:rPr>
              <w:t>contemplarse una distancia mínima libre horizontal de 3 metros.</w:t>
            </w:r>
          </w:p>
          <w:p w14:paraId="2F4FE0E3" w14:textId="2BA87034" w:rsidR="00940450" w:rsidRPr="00940450" w:rsidRDefault="00940450" w:rsidP="00940450">
            <w:pPr>
              <w:pStyle w:val="Prrafodelista"/>
              <w:numPr>
                <w:ilvl w:val="0"/>
                <w:numId w:val="39"/>
              </w:numPr>
              <w:autoSpaceDE w:val="0"/>
              <w:autoSpaceDN w:val="0"/>
              <w:adjustRightInd w:val="0"/>
              <w:spacing w:before="120"/>
              <w:ind w:left="448" w:right="170" w:hanging="284"/>
              <w:contextualSpacing w:val="0"/>
              <w:jc w:val="both"/>
              <w:rPr>
                <w:sz w:val="20"/>
                <w:szCs w:val="20"/>
              </w:rPr>
            </w:pPr>
            <w:r w:rsidRPr="00940450">
              <w:rPr>
                <w:sz w:val="20"/>
                <w:szCs w:val="20"/>
              </w:rPr>
              <w:t>Entre las fachadas con vano de recintos no habitables deberá contemplarse una</w:t>
            </w:r>
            <w:r>
              <w:rPr>
                <w:sz w:val="20"/>
                <w:szCs w:val="20"/>
              </w:rPr>
              <w:t xml:space="preserve"> </w:t>
            </w:r>
            <w:r w:rsidRPr="00940450">
              <w:rPr>
                <w:sz w:val="20"/>
                <w:szCs w:val="20"/>
              </w:rPr>
              <w:t>distancia mínima libre horizontal de 3 metros.</w:t>
            </w:r>
          </w:p>
          <w:p w14:paraId="2A275AAA" w14:textId="2C98E05E" w:rsidR="00940450" w:rsidRDefault="00940450" w:rsidP="00940450">
            <w:pPr>
              <w:rPr>
                <w:rFonts w:cstheme="minorHAnsi"/>
                <w:b/>
                <w:bCs/>
                <w:sz w:val="20"/>
                <w:szCs w:val="20"/>
              </w:rPr>
            </w:pPr>
          </w:p>
        </w:tc>
        <w:tc>
          <w:tcPr>
            <w:tcW w:w="18711" w:type="dxa"/>
          </w:tcPr>
          <w:p w14:paraId="76B7F920" w14:textId="77777777" w:rsidR="002E3F48" w:rsidRDefault="002E3F48" w:rsidP="002E3F48">
            <w:pPr>
              <w:ind w:right="127"/>
              <w:jc w:val="both"/>
              <w:rPr>
                <w:rFonts w:cstheme="minorHAnsi"/>
                <w:color w:val="2F5496" w:themeColor="accent5" w:themeShade="BF"/>
                <w:sz w:val="20"/>
                <w:szCs w:val="20"/>
              </w:rPr>
            </w:pPr>
          </w:p>
          <w:p w14:paraId="3A8059AE" w14:textId="77777777" w:rsidR="00940450" w:rsidRDefault="00940450" w:rsidP="00A76AE9">
            <w:pPr>
              <w:spacing w:line="276" w:lineRule="auto"/>
              <w:ind w:left="164" w:right="172" w:firstLine="1712"/>
              <w:jc w:val="both"/>
              <w:rPr>
                <w:sz w:val="20"/>
                <w:szCs w:val="20"/>
              </w:rPr>
            </w:pPr>
            <w:r w:rsidRPr="00940450">
              <w:rPr>
                <w:sz w:val="20"/>
                <w:szCs w:val="20"/>
              </w:rPr>
              <w:t>En un mismo edificio colectivo las fachadas de unidades independientes</w:t>
            </w:r>
            <w:r>
              <w:rPr>
                <w:sz w:val="20"/>
                <w:szCs w:val="20"/>
              </w:rPr>
              <w:t xml:space="preserve"> </w:t>
            </w:r>
            <w:r w:rsidRPr="00940450">
              <w:rPr>
                <w:sz w:val="20"/>
                <w:szCs w:val="20"/>
              </w:rPr>
              <w:t>deberán cumplir las siguientes distancias mínimas:</w:t>
            </w:r>
          </w:p>
          <w:p w14:paraId="68FD323D" w14:textId="77777777" w:rsidR="00940450" w:rsidRPr="00940450" w:rsidRDefault="00940450" w:rsidP="00940450">
            <w:pPr>
              <w:autoSpaceDE w:val="0"/>
              <w:autoSpaceDN w:val="0"/>
              <w:adjustRightInd w:val="0"/>
              <w:jc w:val="both"/>
              <w:rPr>
                <w:sz w:val="20"/>
                <w:szCs w:val="20"/>
              </w:rPr>
            </w:pPr>
          </w:p>
          <w:p w14:paraId="547D39AE" w14:textId="77777777" w:rsidR="00940450" w:rsidRPr="00940450" w:rsidRDefault="00940450" w:rsidP="00940450">
            <w:pPr>
              <w:pStyle w:val="Prrafodelista"/>
              <w:numPr>
                <w:ilvl w:val="0"/>
                <w:numId w:val="40"/>
              </w:numPr>
              <w:autoSpaceDE w:val="0"/>
              <w:autoSpaceDN w:val="0"/>
              <w:adjustRightInd w:val="0"/>
              <w:ind w:left="457" w:right="169" w:hanging="283"/>
              <w:jc w:val="both"/>
              <w:rPr>
                <w:sz w:val="20"/>
                <w:szCs w:val="20"/>
              </w:rPr>
            </w:pPr>
            <w:r w:rsidRPr="00940450">
              <w:rPr>
                <w:sz w:val="20"/>
                <w:szCs w:val="20"/>
              </w:rPr>
              <w:t>Entre las fachadas con vano de recintos habitables y las fachadas con vano, deberá</w:t>
            </w:r>
            <w:r>
              <w:rPr>
                <w:sz w:val="20"/>
                <w:szCs w:val="20"/>
              </w:rPr>
              <w:t xml:space="preserve"> </w:t>
            </w:r>
            <w:r w:rsidRPr="00940450">
              <w:rPr>
                <w:sz w:val="20"/>
                <w:szCs w:val="20"/>
              </w:rPr>
              <w:t>contemplarse una distancia mínima libre horizontal de 6 metros.</w:t>
            </w:r>
          </w:p>
          <w:p w14:paraId="631ABB26" w14:textId="77777777" w:rsidR="00940450" w:rsidRPr="00940450" w:rsidRDefault="00940450" w:rsidP="00940450">
            <w:pPr>
              <w:pStyle w:val="Prrafodelista"/>
              <w:numPr>
                <w:ilvl w:val="0"/>
                <w:numId w:val="40"/>
              </w:numPr>
              <w:autoSpaceDE w:val="0"/>
              <w:autoSpaceDN w:val="0"/>
              <w:adjustRightInd w:val="0"/>
              <w:spacing w:before="120"/>
              <w:ind w:left="448" w:right="170" w:hanging="284"/>
              <w:contextualSpacing w:val="0"/>
              <w:jc w:val="both"/>
              <w:rPr>
                <w:sz w:val="20"/>
                <w:szCs w:val="20"/>
              </w:rPr>
            </w:pPr>
            <w:r w:rsidRPr="00940450">
              <w:rPr>
                <w:sz w:val="20"/>
                <w:szCs w:val="20"/>
              </w:rPr>
              <w:t>Entre las fachadas con vano de recintos habitables y las fachadas sin vano, deberá</w:t>
            </w:r>
            <w:r>
              <w:rPr>
                <w:sz w:val="20"/>
                <w:szCs w:val="20"/>
              </w:rPr>
              <w:t xml:space="preserve"> </w:t>
            </w:r>
            <w:r w:rsidRPr="00940450">
              <w:rPr>
                <w:sz w:val="20"/>
                <w:szCs w:val="20"/>
              </w:rPr>
              <w:t>contemplarse una distancia mínima libre horizontal de 3 metros.</w:t>
            </w:r>
          </w:p>
          <w:p w14:paraId="47842C26" w14:textId="77777777" w:rsidR="00940450" w:rsidRDefault="00940450" w:rsidP="00940450">
            <w:pPr>
              <w:pStyle w:val="Prrafodelista"/>
              <w:numPr>
                <w:ilvl w:val="0"/>
                <w:numId w:val="40"/>
              </w:numPr>
              <w:autoSpaceDE w:val="0"/>
              <w:autoSpaceDN w:val="0"/>
              <w:adjustRightInd w:val="0"/>
              <w:spacing w:before="120"/>
              <w:ind w:left="448" w:right="170" w:hanging="284"/>
              <w:contextualSpacing w:val="0"/>
              <w:jc w:val="both"/>
              <w:rPr>
                <w:sz w:val="20"/>
                <w:szCs w:val="20"/>
              </w:rPr>
            </w:pPr>
            <w:r w:rsidRPr="00940450">
              <w:rPr>
                <w:sz w:val="20"/>
                <w:szCs w:val="20"/>
              </w:rPr>
              <w:t>Entre las fachadas con vano de recintos no habitables deberá contemplarse una</w:t>
            </w:r>
            <w:r>
              <w:rPr>
                <w:sz w:val="20"/>
                <w:szCs w:val="20"/>
              </w:rPr>
              <w:t xml:space="preserve"> </w:t>
            </w:r>
            <w:r w:rsidRPr="00940450">
              <w:rPr>
                <w:sz w:val="20"/>
                <w:szCs w:val="20"/>
              </w:rPr>
              <w:t>distancia mínima libre horizontal de 3 metros.</w:t>
            </w:r>
          </w:p>
          <w:p w14:paraId="42CE03A6" w14:textId="1868B0DE" w:rsidR="00940450" w:rsidRPr="00940450" w:rsidRDefault="00940450" w:rsidP="00367A46">
            <w:pPr>
              <w:pStyle w:val="Prrafodelista"/>
              <w:numPr>
                <w:ilvl w:val="0"/>
                <w:numId w:val="40"/>
              </w:numPr>
              <w:autoSpaceDE w:val="0"/>
              <w:autoSpaceDN w:val="0"/>
              <w:adjustRightInd w:val="0"/>
              <w:spacing w:before="120" w:line="276" w:lineRule="auto"/>
              <w:ind w:left="448" w:right="170" w:hanging="284"/>
              <w:contextualSpacing w:val="0"/>
              <w:jc w:val="both"/>
              <w:rPr>
                <w:sz w:val="20"/>
                <w:szCs w:val="20"/>
              </w:rPr>
            </w:pPr>
            <w:r w:rsidRPr="00940450">
              <w:rPr>
                <w:color w:val="2F5496" w:themeColor="accent5" w:themeShade="BF"/>
                <w:sz w:val="20"/>
                <w:szCs w:val="20"/>
              </w:rPr>
              <w:t>Los balcones o terrazas de uso común de unidades funcionales independientes contiguas, en proyectos que estén o no acogidos a régimen de copropiedad deberán contar con paramentos que las separen, los que deberán cumplir con la resistencia al fuego requerida para los muros divisorios entre unidades de acuerdo al artículo 4.3.3. del Capítulo 3 del Título 4 de esta Ordenanza. El largo de este muro o paramento corresponderá al ancho de la terraza o balcón y su altura será continua de piso a cielo.</w:t>
            </w:r>
          </w:p>
        </w:tc>
        <w:tc>
          <w:tcPr>
            <w:tcW w:w="18711" w:type="dxa"/>
          </w:tcPr>
          <w:p w14:paraId="746ED39D" w14:textId="77777777" w:rsidR="002E3F48" w:rsidRPr="004E04FE" w:rsidRDefault="002E3F48" w:rsidP="002E3F48">
            <w:pPr>
              <w:ind w:right="127"/>
              <w:jc w:val="both"/>
              <w:rPr>
                <w:rFonts w:cstheme="minorHAnsi"/>
                <w:bCs/>
                <w:sz w:val="20"/>
                <w:szCs w:val="20"/>
              </w:rPr>
            </w:pPr>
          </w:p>
        </w:tc>
      </w:tr>
      <w:tr w:rsidR="002E3F48" w:rsidRPr="00536FF3" w14:paraId="57FB634A" w14:textId="77777777" w:rsidTr="00367A46">
        <w:trPr>
          <w:trHeight w:val="567"/>
          <w:jc w:val="center"/>
        </w:trPr>
        <w:tc>
          <w:tcPr>
            <w:tcW w:w="18711" w:type="dxa"/>
            <w:gridSpan w:val="3"/>
            <w:vAlign w:val="center"/>
          </w:tcPr>
          <w:p w14:paraId="630528CE" w14:textId="35FE8F90" w:rsidR="002E3F48" w:rsidRPr="004E04FE" w:rsidRDefault="002E3F48" w:rsidP="00940450">
            <w:pPr>
              <w:ind w:right="127"/>
              <w:jc w:val="both"/>
              <w:rPr>
                <w:rFonts w:cstheme="minorHAnsi"/>
                <w:bCs/>
                <w:sz w:val="20"/>
                <w:szCs w:val="20"/>
              </w:rPr>
            </w:pPr>
            <w:r>
              <w:rPr>
                <w:rFonts w:cstheme="minorHAnsi"/>
                <w:b/>
                <w:color w:val="000000"/>
              </w:rPr>
              <w:t>ARTÍCULO 4.9.2.</w:t>
            </w:r>
            <w:r w:rsidRPr="00F05340">
              <w:rPr>
                <w:rFonts w:cstheme="minorHAnsi"/>
                <w:b/>
                <w:color w:val="000000"/>
              </w:rPr>
              <w:t xml:space="preserve"> </w:t>
            </w:r>
            <w:r>
              <w:rPr>
                <w:rFonts w:cstheme="minorHAnsi"/>
                <w:b/>
                <w:color w:val="000000"/>
              </w:rPr>
              <w:t xml:space="preserve">–  SE </w:t>
            </w:r>
            <w:r w:rsidR="00940450">
              <w:rPr>
                <w:rFonts w:cstheme="minorHAnsi"/>
                <w:b/>
                <w:color w:val="000000"/>
              </w:rPr>
              <w:t>ELIMINA FRASE</w:t>
            </w:r>
          </w:p>
        </w:tc>
      </w:tr>
      <w:tr w:rsidR="000F0C86" w:rsidRPr="00536FF3" w14:paraId="14B804C5" w14:textId="77777777" w:rsidTr="00367A46">
        <w:trPr>
          <w:trHeight w:val="290"/>
          <w:jc w:val="center"/>
        </w:trPr>
        <w:tc>
          <w:tcPr>
            <w:tcW w:w="18711" w:type="dxa"/>
            <w:vAlign w:val="center"/>
          </w:tcPr>
          <w:p w14:paraId="6B729A0F" w14:textId="77777777" w:rsidR="002E3F48" w:rsidRDefault="002E3F48" w:rsidP="002E3F48">
            <w:pPr>
              <w:spacing w:line="276" w:lineRule="auto"/>
              <w:ind w:left="164" w:right="172"/>
              <w:jc w:val="both"/>
              <w:rPr>
                <w:sz w:val="20"/>
                <w:szCs w:val="20"/>
              </w:rPr>
            </w:pPr>
          </w:p>
          <w:p w14:paraId="74FCB495" w14:textId="065BB90D" w:rsidR="002E3F48" w:rsidRPr="009C5230" w:rsidRDefault="002E3F48" w:rsidP="00D76BF5">
            <w:pPr>
              <w:spacing w:line="276" w:lineRule="auto"/>
              <w:ind w:left="164" w:right="172" w:firstLine="1702"/>
              <w:jc w:val="both"/>
              <w:rPr>
                <w:sz w:val="20"/>
                <w:szCs w:val="20"/>
              </w:rPr>
            </w:pPr>
            <w:r w:rsidRPr="009C5230">
              <w:rPr>
                <w:sz w:val="20"/>
                <w:szCs w:val="20"/>
              </w:rPr>
              <w:t>Para los efectos de la aplicación de las normas de evacuación contenidas en el Capítulo 2 de este mismo Título, las habitaciones de los edificios destinados a hospedaje que contemplen 4 o más pisos serán consideradas como unidades funcionales independientes</w:t>
            </w:r>
            <w:r>
              <w:rPr>
                <w:sz w:val="20"/>
                <w:szCs w:val="20"/>
              </w:rPr>
              <w:t>.</w:t>
            </w:r>
          </w:p>
          <w:p w14:paraId="3D876050" w14:textId="77777777" w:rsidR="002E3F48" w:rsidRDefault="002E3F48" w:rsidP="002E3F48">
            <w:pPr>
              <w:jc w:val="center"/>
              <w:rPr>
                <w:rFonts w:cstheme="minorHAnsi"/>
                <w:b/>
                <w:bCs/>
                <w:sz w:val="20"/>
                <w:szCs w:val="20"/>
              </w:rPr>
            </w:pPr>
          </w:p>
        </w:tc>
        <w:tc>
          <w:tcPr>
            <w:tcW w:w="18711" w:type="dxa"/>
          </w:tcPr>
          <w:p w14:paraId="28423EC0" w14:textId="77777777" w:rsidR="002E3F48" w:rsidRDefault="002E3F48" w:rsidP="002E3F48">
            <w:pPr>
              <w:ind w:right="127"/>
              <w:jc w:val="both"/>
              <w:rPr>
                <w:rFonts w:cstheme="minorHAnsi"/>
                <w:bCs/>
                <w:sz w:val="20"/>
                <w:szCs w:val="20"/>
              </w:rPr>
            </w:pPr>
          </w:p>
          <w:p w14:paraId="20EFCDBA" w14:textId="5DA12238" w:rsidR="00940450" w:rsidRDefault="00940450" w:rsidP="00D76BF5">
            <w:pPr>
              <w:spacing w:line="276" w:lineRule="auto"/>
              <w:ind w:left="164" w:right="172" w:firstLine="1712"/>
              <w:jc w:val="both"/>
              <w:rPr>
                <w:sz w:val="20"/>
                <w:szCs w:val="20"/>
              </w:rPr>
            </w:pPr>
            <w:r w:rsidRPr="009C5230">
              <w:rPr>
                <w:sz w:val="20"/>
                <w:szCs w:val="20"/>
              </w:rPr>
              <w:t xml:space="preserve">Para los efectos de la aplicación de las normas de evacuación contenidas en el Capítulo 2 de este mismo Título, las habitaciones de los edificios destinados a hospedaje </w:t>
            </w:r>
            <w:r w:rsidRPr="00940450">
              <w:rPr>
                <w:strike/>
                <w:color w:val="2F5496" w:themeColor="accent5" w:themeShade="BF"/>
                <w:sz w:val="20"/>
                <w:szCs w:val="20"/>
              </w:rPr>
              <w:t>que contemplen 4 o más pisos</w:t>
            </w:r>
            <w:r w:rsidRPr="009C5230">
              <w:rPr>
                <w:sz w:val="20"/>
                <w:szCs w:val="20"/>
              </w:rPr>
              <w:t xml:space="preserve"> serán consideradas como unidades funcionales independientes</w:t>
            </w:r>
            <w:r>
              <w:rPr>
                <w:sz w:val="20"/>
                <w:szCs w:val="20"/>
              </w:rPr>
              <w:t>.</w:t>
            </w:r>
          </w:p>
          <w:p w14:paraId="09AAB688" w14:textId="77777777" w:rsidR="00D76BF5" w:rsidRPr="009C5230" w:rsidRDefault="00D76BF5" w:rsidP="00D76BF5">
            <w:pPr>
              <w:spacing w:line="276" w:lineRule="auto"/>
              <w:ind w:left="164" w:right="172" w:firstLine="1712"/>
              <w:jc w:val="both"/>
              <w:rPr>
                <w:sz w:val="20"/>
                <w:szCs w:val="20"/>
              </w:rPr>
            </w:pPr>
          </w:p>
          <w:p w14:paraId="0D86A2AD" w14:textId="7F3B7D48" w:rsidR="002E3F48" w:rsidRDefault="002E3F48" w:rsidP="002E3F48">
            <w:pPr>
              <w:ind w:right="127"/>
              <w:jc w:val="both"/>
              <w:rPr>
                <w:rFonts w:cstheme="minorHAnsi"/>
                <w:bCs/>
                <w:sz w:val="20"/>
                <w:szCs w:val="20"/>
              </w:rPr>
            </w:pPr>
          </w:p>
        </w:tc>
        <w:tc>
          <w:tcPr>
            <w:tcW w:w="18711" w:type="dxa"/>
          </w:tcPr>
          <w:p w14:paraId="011B7083" w14:textId="77777777" w:rsidR="002E3F48" w:rsidRPr="004E04FE" w:rsidRDefault="002E3F48" w:rsidP="002E3F48">
            <w:pPr>
              <w:ind w:right="127"/>
              <w:jc w:val="both"/>
              <w:rPr>
                <w:rFonts w:cstheme="minorHAnsi"/>
                <w:bCs/>
                <w:sz w:val="20"/>
                <w:szCs w:val="20"/>
              </w:rPr>
            </w:pPr>
          </w:p>
        </w:tc>
      </w:tr>
      <w:tr w:rsidR="002E3F48" w:rsidRPr="00536FF3" w14:paraId="0F1705FB" w14:textId="77777777" w:rsidTr="00367A46">
        <w:trPr>
          <w:trHeight w:val="567"/>
          <w:jc w:val="center"/>
        </w:trPr>
        <w:tc>
          <w:tcPr>
            <w:tcW w:w="18711" w:type="dxa"/>
            <w:gridSpan w:val="3"/>
            <w:vAlign w:val="center"/>
          </w:tcPr>
          <w:p w14:paraId="522FCEA2" w14:textId="169158FB" w:rsidR="002E3F48" w:rsidRPr="004E04FE" w:rsidRDefault="002E3F48" w:rsidP="002E3F48">
            <w:pPr>
              <w:ind w:right="127"/>
              <w:jc w:val="both"/>
              <w:rPr>
                <w:rFonts w:cstheme="minorHAnsi"/>
                <w:bCs/>
                <w:sz w:val="20"/>
                <w:szCs w:val="20"/>
              </w:rPr>
            </w:pPr>
            <w:r>
              <w:rPr>
                <w:rFonts w:cstheme="minorHAnsi"/>
                <w:b/>
                <w:color w:val="000000"/>
              </w:rPr>
              <w:t>ARTÍCULO 4.9.3.</w:t>
            </w:r>
            <w:r w:rsidRPr="00F05340">
              <w:rPr>
                <w:rFonts w:cstheme="minorHAnsi"/>
                <w:b/>
                <w:color w:val="000000"/>
              </w:rPr>
              <w:t xml:space="preserve"> </w:t>
            </w:r>
            <w:r>
              <w:rPr>
                <w:rFonts w:cstheme="minorHAnsi"/>
                <w:b/>
                <w:color w:val="000000"/>
              </w:rPr>
              <w:t>–  SE ELIMINA FRASE</w:t>
            </w:r>
          </w:p>
        </w:tc>
      </w:tr>
      <w:tr w:rsidR="000F0C86" w:rsidRPr="00536FF3" w14:paraId="3E2096F9" w14:textId="77777777" w:rsidTr="00367A46">
        <w:trPr>
          <w:trHeight w:val="290"/>
          <w:jc w:val="center"/>
        </w:trPr>
        <w:tc>
          <w:tcPr>
            <w:tcW w:w="18711" w:type="dxa"/>
            <w:vAlign w:val="center"/>
          </w:tcPr>
          <w:p w14:paraId="3E7F7ED4" w14:textId="77777777" w:rsidR="002E3F48" w:rsidRPr="00594F79" w:rsidRDefault="002E3F48" w:rsidP="002E3F48">
            <w:pPr>
              <w:jc w:val="both"/>
              <w:rPr>
                <w:sz w:val="20"/>
                <w:szCs w:val="20"/>
              </w:rPr>
            </w:pPr>
          </w:p>
          <w:p w14:paraId="7900B92E" w14:textId="23AACD4D" w:rsidR="002E3F48" w:rsidRPr="00594F79" w:rsidRDefault="002E3F48" w:rsidP="00D76BF5">
            <w:pPr>
              <w:spacing w:line="276" w:lineRule="auto"/>
              <w:ind w:left="164" w:right="172" w:firstLine="1702"/>
              <w:jc w:val="both"/>
              <w:rPr>
                <w:sz w:val="20"/>
                <w:szCs w:val="20"/>
              </w:rPr>
            </w:pPr>
            <w:r w:rsidRPr="00594F79">
              <w:rPr>
                <w:sz w:val="20"/>
                <w:szCs w:val="20"/>
              </w:rPr>
              <w:t>Para los efectos de la aplicación de las normas contra incendio contenidas en el Capítulo 3 de este mismo Título, las habitaciones de los edificios destinados a hospedaje serán consideradas como unidades funcionales independientes sólo cuando se trate de unidades acogidas a la Ley de Copropiedad Inmobiliaria</w:t>
            </w:r>
            <w:r>
              <w:rPr>
                <w:sz w:val="20"/>
                <w:szCs w:val="20"/>
              </w:rPr>
              <w:t>.</w:t>
            </w:r>
          </w:p>
          <w:p w14:paraId="014D1B98" w14:textId="6C544C51" w:rsidR="002E3F48" w:rsidRPr="00594F79" w:rsidRDefault="002E3F48" w:rsidP="002E3F48">
            <w:pPr>
              <w:jc w:val="both"/>
              <w:rPr>
                <w:sz w:val="20"/>
                <w:szCs w:val="20"/>
              </w:rPr>
            </w:pPr>
          </w:p>
        </w:tc>
        <w:tc>
          <w:tcPr>
            <w:tcW w:w="18711" w:type="dxa"/>
          </w:tcPr>
          <w:p w14:paraId="36A5B96C" w14:textId="77777777" w:rsidR="002E3F48" w:rsidRDefault="002E3F48" w:rsidP="002E3F48">
            <w:pPr>
              <w:ind w:right="127"/>
              <w:jc w:val="both"/>
              <w:rPr>
                <w:rFonts w:cstheme="minorHAnsi"/>
                <w:bCs/>
                <w:sz w:val="20"/>
                <w:szCs w:val="20"/>
              </w:rPr>
            </w:pPr>
          </w:p>
          <w:p w14:paraId="1048AC71" w14:textId="501DF293" w:rsidR="002E3F48" w:rsidRPr="00594F79" w:rsidRDefault="002E3F48" w:rsidP="00D76BF5">
            <w:pPr>
              <w:spacing w:line="276" w:lineRule="auto"/>
              <w:ind w:left="164" w:right="172" w:firstLine="1712"/>
              <w:jc w:val="both"/>
              <w:rPr>
                <w:strike/>
                <w:color w:val="2F5496" w:themeColor="accent5" w:themeShade="BF"/>
                <w:sz w:val="20"/>
                <w:szCs w:val="20"/>
              </w:rPr>
            </w:pPr>
            <w:r w:rsidRPr="00594F79">
              <w:rPr>
                <w:sz w:val="20"/>
                <w:szCs w:val="20"/>
              </w:rPr>
              <w:t>Para los efectos de la aplicación de las normas contra incendio contenidas en el Capítulo 3 de este mismo Título, las habitaciones de los edificios destinados a hospedaje serán consideradas como unidades funcionales independientes</w:t>
            </w:r>
            <w:r>
              <w:rPr>
                <w:sz w:val="20"/>
                <w:szCs w:val="20"/>
              </w:rPr>
              <w:t>.</w:t>
            </w:r>
            <w:r w:rsidRPr="00594F79">
              <w:rPr>
                <w:sz w:val="20"/>
                <w:szCs w:val="20"/>
              </w:rPr>
              <w:t xml:space="preserve"> </w:t>
            </w:r>
            <w:r w:rsidRPr="00594F79">
              <w:rPr>
                <w:strike/>
                <w:color w:val="2F5496" w:themeColor="accent5" w:themeShade="BF"/>
                <w:sz w:val="20"/>
                <w:szCs w:val="20"/>
              </w:rPr>
              <w:t>sólo cuando se trate de unidades acogidas a la Ley de Copropiedad Inmobiliaria.</w:t>
            </w:r>
          </w:p>
          <w:p w14:paraId="06284C8C" w14:textId="61D4AAB5" w:rsidR="002E3F48" w:rsidRDefault="002E3F48" w:rsidP="002E3F48">
            <w:pPr>
              <w:ind w:right="127"/>
              <w:jc w:val="both"/>
              <w:rPr>
                <w:rFonts w:cstheme="minorHAnsi"/>
                <w:bCs/>
                <w:sz w:val="20"/>
                <w:szCs w:val="20"/>
              </w:rPr>
            </w:pPr>
          </w:p>
        </w:tc>
        <w:tc>
          <w:tcPr>
            <w:tcW w:w="18711" w:type="dxa"/>
          </w:tcPr>
          <w:p w14:paraId="530D3E6C" w14:textId="77777777" w:rsidR="002E3F48" w:rsidRPr="004E04FE" w:rsidRDefault="002E3F48" w:rsidP="002E3F48">
            <w:pPr>
              <w:ind w:right="127"/>
              <w:jc w:val="both"/>
              <w:rPr>
                <w:rFonts w:cstheme="minorHAnsi"/>
                <w:bCs/>
                <w:sz w:val="20"/>
                <w:szCs w:val="20"/>
              </w:rPr>
            </w:pPr>
          </w:p>
        </w:tc>
      </w:tr>
      <w:tr w:rsidR="002E3F48" w:rsidRPr="00536FF3" w14:paraId="0D3BBE17" w14:textId="77777777" w:rsidTr="00367A46">
        <w:trPr>
          <w:trHeight w:val="567"/>
          <w:jc w:val="center"/>
        </w:trPr>
        <w:tc>
          <w:tcPr>
            <w:tcW w:w="18711" w:type="dxa"/>
            <w:gridSpan w:val="3"/>
            <w:vAlign w:val="center"/>
          </w:tcPr>
          <w:p w14:paraId="243B2D0B" w14:textId="754D5AE6" w:rsidR="002E3F48" w:rsidRPr="004E04FE" w:rsidRDefault="002E3F48" w:rsidP="002E3F48">
            <w:pPr>
              <w:ind w:right="127"/>
              <w:jc w:val="both"/>
              <w:rPr>
                <w:rFonts w:cstheme="minorHAnsi"/>
                <w:bCs/>
                <w:sz w:val="20"/>
                <w:szCs w:val="20"/>
              </w:rPr>
            </w:pPr>
            <w:r>
              <w:rPr>
                <w:rFonts w:cstheme="minorHAnsi"/>
                <w:b/>
                <w:color w:val="000000"/>
              </w:rPr>
              <w:t>ARTÍCULO 5.1.25.</w:t>
            </w:r>
            <w:r w:rsidRPr="00F05340">
              <w:rPr>
                <w:rFonts w:cstheme="minorHAnsi"/>
                <w:b/>
                <w:color w:val="000000"/>
              </w:rPr>
              <w:t xml:space="preserve"> </w:t>
            </w:r>
            <w:r>
              <w:rPr>
                <w:rFonts w:cstheme="minorHAnsi"/>
                <w:b/>
                <w:color w:val="000000"/>
              </w:rPr>
              <w:t>–  INCISO PRIMERO (SE INTERCALA NUEVO NUMERAL)</w:t>
            </w:r>
          </w:p>
        </w:tc>
      </w:tr>
      <w:tr w:rsidR="000F0C86" w:rsidRPr="00536FF3" w14:paraId="59E218AD" w14:textId="77777777" w:rsidTr="00367A46">
        <w:trPr>
          <w:trHeight w:val="290"/>
          <w:jc w:val="center"/>
        </w:trPr>
        <w:tc>
          <w:tcPr>
            <w:tcW w:w="18711" w:type="dxa"/>
            <w:vAlign w:val="center"/>
          </w:tcPr>
          <w:p w14:paraId="4A25B707" w14:textId="77777777" w:rsidR="002E3F48" w:rsidRDefault="002E3F48" w:rsidP="00D76BF5">
            <w:pPr>
              <w:spacing w:line="276" w:lineRule="auto"/>
              <w:ind w:left="164" w:right="172" w:firstLine="1702"/>
              <w:jc w:val="both"/>
              <w:rPr>
                <w:sz w:val="20"/>
                <w:szCs w:val="20"/>
              </w:rPr>
            </w:pPr>
            <w:r w:rsidRPr="006A3357">
              <w:rPr>
                <w:sz w:val="20"/>
                <w:szCs w:val="20"/>
              </w:rPr>
              <w:t xml:space="preserve">En los casos que a continuación se indican, el propietario deberá contratar un Revisor de Proyecto de Cálculo Estructural: </w:t>
            </w:r>
          </w:p>
          <w:p w14:paraId="640D433E" w14:textId="77777777" w:rsidR="002E3F48" w:rsidRDefault="002E3F48" w:rsidP="002E3F48">
            <w:pPr>
              <w:spacing w:line="276" w:lineRule="auto"/>
              <w:ind w:left="164" w:right="172"/>
              <w:jc w:val="both"/>
              <w:rPr>
                <w:sz w:val="20"/>
                <w:szCs w:val="20"/>
              </w:rPr>
            </w:pPr>
          </w:p>
          <w:p w14:paraId="5E94EF86" w14:textId="77777777" w:rsidR="002E3F48" w:rsidRPr="0027179E" w:rsidRDefault="002E3F48" w:rsidP="002E3F48">
            <w:pPr>
              <w:pStyle w:val="Prrafodelista"/>
              <w:numPr>
                <w:ilvl w:val="0"/>
                <w:numId w:val="35"/>
              </w:numPr>
              <w:spacing w:line="276" w:lineRule="auto"/>
              <w:ind w:left="447" w:right="172" w:hanging="283"/>
              <w:jc w:val="both"/>
              <w:rPr>
                <w:sz w:val="20"/>
                <w:szCs w:val="20"/>
              </w:rPr>
            </w:pPr>
            <w:r w:rsidRPr="0027179E">
              <w:rPr>
                <w:sz w:val="20"/>
                <w:szCs w:val="20"/>
              </w:rPr>
              <w:t>Edificios de uso público.</w:t>
            </w:r>
          </w:p>
          <w:p w14:paraId="170A376A" w14:textId="475D29BD" w:rsidR="002E3F48" w:rsidRDefault="002E3F48" w:rsidP="002E3F48">
            <w:pPr>
              <w:pStyle w:val="Prrafodelista"/>
              <w:numPr>
                <w:ilvl w:val="0"/>
                <w:numId w:val="35"/>
              </w:numPr>
              <w:spacing w:before="120" w:line="276" w:lineRule="auto"/>
              <w:ind w:left="448" w:right="170" w:hanging="284"/>
              <w:contextualSpacing w:val="0"/>
              <w:jc w:val="both"/>
              <w:rPr>
                <w:sz w:val="20"/>
                <w:szCs w:val="20"/>
              </w:rPr>
            </w:pPr>
            <w:r w:rsidRPr="0027179E">
              <w:rPr>
                <w:sz w:val="20"/>
                <w:szCs w:val="20"/>
              </w:rPr>
              <w:t xml:space="preserve">Conjuntos de viviendas cuya construcción hubiere sido contratada </w:t>
            </w:r>
            <w:r>
              <w:rPr>
                <w:sz w:val="20"/>
                <w:szCs w:val="20"/>
              </w:rPr>
              <w:t>por los Ser</w:t>
            </w:r>
            <w:r w:rsidRPr="0027179E">
              <w:rPr>
                <w:sz w:val="20"/>
                <w:szCs w:val="20"/>
              </w:rPr>
              <w:t>vicios de Vivienda y Urbanización.</w:t>
            </w:r>
          </w:p>
          <w:p w14:paraId="206C75DA" w14:textId="77777777" w:rsidR="002E3F48" w:rsidRDefault="002E3F48" w:rsidP="002E3F48">
            <w:pPr>
              <w:pStyle w:val="Prrafodelista"/>
              <w:numPr>
                <w:ilvl w:val="0"/>
                <w:numId w:val="35"/>
              </w:numPr>
              <w:spacing w:before="120" w:line="276" w:lineRule="auto"/>
              <w:ind w:left="448" w:right="170" w:hanging="284"/>
              <w:contextualSpacing w:val="0"/>
              <w:jc w:val="both"/>
              <w:rPr>
                <w:sz w:val="20"/>
                <w:szCs w:val="20"/>
              </w:rPr>
            </w:pPr>
            <w:r w:rsidRPr="0027179E">
              <w:rPr>
                <w:sz w:val="20"/>
                <w:szCs w:val="20"/>
              </w:rPr>
              <w:t>Conjuntos de viviendas sociales de 3 o más pisos.</w:t>
            </w:r>
          </w:p>
          <w:p w14:paraId="3F7F5EB1" w14:textId="77777777" w:rsidR="002E3F48" w:rsidRDefault="002E3F48" w:rsidP="002E3F48">
            <w:pPr>
              <w:pStyle w:val="Prrafodelista"/>
              <w:numPr>
                <w:ilvl w:val="0"/>
                <w:numId w:val="35"/>
              </w:numPr>
              <w:spacing w:before="120" w:line="276" w:lineRule="auto"/>
              <w:ind w:left="448" w:right="170" w:hanging="284"/>
              <w:contextualSpacing w:val="0"/>
              <w:jc w:val="both"/>
              <w:rPr>
                <w:sz w:val="20"/>
                <w:szCs w:val="20"/>
              </w:rPr>
            </w:pPr>
            <w:r w:rsidRPr="0027179E">
              <w:rPr>
                <w:sz w:val="20"/>
                <w:szCs w:val="20"/>
              </w:rPr>
              <w:t>Conjuntos de viviendas de 3 o más pisos que no sean sociales.</w:t>
            </w:r>
          </w:p>
          <w:p w14:paraId="313EE417" w14:textId="77777777" w:rsidR="002E3F48" w:rsidRDefault="002E3F48" w:rsidP="002E3F48">
            <w:pPr>
              <w:pStyle w:val="Prrafodelista"/>
              <w:numPr>
                <w:ilvl w:val="0"/>
                <w:numId w:val="35"/>
              </w:numPr>
              <w:spacing w:before="120" w:line="276" w:lineRule="auto"/>
              <w:ind w:left="448" w:right="170" w:hanging="284"/>
              <w:contextualSpacing w:val="0"/>
              <w:jc w:val="both"/>
              <w:rPr>
                <w:sz w:val="20"/>
                <w:szCs w:val="20"/>
              </w:rPr>
            </w:pPr>
            <w:r w:rsidRPr="0027179E">
              <w:rPr>
                <w:sz w:val="20"/>
                <w:szCs w:val="20"/>
              </w:rPr>
              <w:t>Edificios de 3 o más pisos cuyo destino sea uso exclusivo oficinas privadas.</w:t>
            </w:r>
          </w:p>
          <w:p w14:paraId="008E31DD" w14:textId="77777777" w:rsidR="002E3F48" w:rsidRDefault="002E3F48" w:rsidP="002E3F48">
            <w:pPr>
              <w:pStyle w:val="Prrafodelista"/>
              <w:numPr>
                <w:ilvl w:val="0"/>
                <w:numId w:val="35"/>
              </w:numPr>
              <w:spacing w:before="120" w:line="276" w:lineRule="auto"/>
              <w:ind w:left="448" w:right="170" w:hanging="284"/>
              <w:contextualSpacing w:val="0"/>
              <w:jc w:val="both"/>
              <w:rPr>
                <w:sz w:val="20"/>
                <w:szCs w:val="20"/>
              </w:rPr>
            </w:pPr>
            <w:r w:rsidRPr="0027179E">
              <w:rPr>
                <w:sz w:val="20"/>
                <w:szCs w:val="20"/>
              </w:rPr>
              <w:t>Edificios que deban mantenerse en operación ante situaciones de emergencia, tales como hospitales, cuarteles de bomberos, cuarteles policiales, edificaciones destinadas a centros de control de empresas de servicios energéticos y sanitarios, emisoras de telecomunicaciones.</w:t>
            </w:r>
          </w:p>
          <w:p w14:paraId="3FCD2556" w14:textId="5B84611B" w:rsidR="002E3F48" w:rsidRPr="0027179E" w:rsidRDefault="002E3F48" w:rsidP="002E3F48">
            <w:pPr>
              <w:pStyle w:val="Prrafodelista"/>
              <w:numPr>
                <w:ilvl w:val="0"/>
                <w:numId w:val="35"/>
              </w:numPr>
              <w:spacing w:before="120" w:line="276" w:lineRule="auto"/>
              <w:ind w:left="448" w:right="170" w:hanging="284"/>
              <w:contextualSpacing w:val="0"/>
              <w:jc w:val="both"/>
              <w:rPr>
                <w:sz w:val="20"/>
                <w:szCs w:val="20"/>
              </w:rPr>
            </w:pPr>
            <w:r w:rsidRPr="0027179E">
              <w:rPr>
                <w:sz w:val="20"/>
                <w:szCs w:val="20"/>
              </w:rPr>
              <w:t xml:space="preserve">Edificios cuyo cálculo estructural esté basado en normas extranjeras, las cuales deberán ser declaradas al momento de solicitar el permiso. </w:t>
            </w:r>
          </w:p>
          <w:p w14:paraId="47F82995" w14:textId="17EFEF4C" w:rsidR="002E3F48" w:rsidRDefault="002E3F48" w:rsidP="002E3F48">
            <w:pPr>
              <w:jc w:val="center"/>
              <w:rPr>
                <w:rFonts w:cstheme="minorHAnsi"/>
                <w:b/>
                <w:bCs/>
                <w:sz w:val="20"/>
                <w:szCs w:val="20"/>
              </w:rPr>
            </w:pPr>
          </w:p>
        </w:tc>
        <w:tc>
          <w:tcPr>
            <w:tcW w:w="18711" w:type="dxa"/>
          </w:tcPr>
          <w:p w14:paraId="7C343DA6" w14:textId="77777777" w:rsidR="002E3F48" w:rsidRDefault="002E3F48" w:rsidP="00D76BF5">
            <w:pPr>
              <w:spacing w:before="120" w:line="276" w:lineRule="auto"/>
              <w:ind w:left="164" w:right="170" w:firstLine="1712"/>
              <w:jc w:val="both"/>
              <w:rPr>
                <w:sz w:val="20"/>
                <w:szCs w:val="20"/>
              </w:rPr>
            </w:pPr>
            <w:r w:rsidRPr="006A3357">
              <w:rPr>
                <w:sz w:val="20"/>
                <w:szCs w:val="20"/>
              </w:rPr>
              <w:t xml:space="preserve">En los casos que a continuación se indican, el propietario deberá contratar un Revisor de Proyecto de Cálculo Estructural: </w:t>
            </w:r>
          </w:p>
          <w:p w14:paraId="7B2DFCEA" w14:textId="77777777" w:rsidR="002E3F48" w:rsidRDefault="002E3F48" w:rsidP="002E3F48">
            <w:pPr>
              <w:spacing w:line="276" w:lineRule="auto"/>
              <w:ind w:left="164" w:right="172"/>
              <w:jc w:val="both"/>
              <w:rPr>
                <w:sz w:val="20"/>
                <w:szCs w:val="20"/>
              </w:rPr>
            </w:pPr>
          </w:p>
          <w:p w14:paraId="2E4CA7B4" w14:textId="77777777" w:rsidR="002E3F48" w:rsidRPr="0027179E" w:rsidRDefault="002E3F48" w:rsidP="002E3F48">
            <w:pPr>
              <w:pStyle w:val="Prrafodelista"/>
              <w:numPr>
                <w:ilvl w:val="0"/>
                <w:numId w:val="36"/>
              </w:numPr>
              <w:spacing w:line="276" w:lineRule="auto"/>
              <w:ind w:left="457" w:right="172" w:hanging="283"/>
              <w:jc w:val="both"/>
              <w:rPr>
                <w:sz w:val="20"/>
                <w:szCs w:val="20"/>
              </w:rPr>
            </w:pPr>
            <w:r w:rsidRPr="0027179E">
              <w:rPr>
                <w:sz w:val="20"/>
                <w:szCs w:val="20"/>
              </w:rPr>
              <w:t>Edificios de uso público.</w:t>
            </w:r>
          </w:p>
          <w:p w14:paraId="4DCA6042" w14:textId="415E0C10" w:rsidR="002E3F48" w:rsidRDefault="002E3F48" w:rsidP="002E3F48">
            <w:pPr>
              <w:pStyle w:val="Prrafodelista"/>
              <w:numPr>
                <w:ilvl w:val="0"/>
                <w:numId w:val="36"/>
              </w:numPr>
              <w:spacing w:before="120" w:line="276" w:lineRule="auto"/>
              <w:ind w:left="448" w:right="170" w:hanging="284"/>
              <w:contextualSpacing w:val="0"/>
              <w:jc w:val="both"/>
              <w:rPr>
                <w:sz w:val="20"/>
                <w:szCs w:val="20"/>
              </w:rPr>
            </w:pPr>
            <w:r w:rsidRPr="0027179E">
              <w:rPr>
                <w:sz w:val="20"/>
                <w:szCs w:val="20"/>
              </w:rPr>
              <w:t>Conjuntos de viviendas cuya construcción hubi</w:t>
            </w:r>
            <w:r>
              <w:rPr>
                <w:sz w:val="20"/>
                <w:szCs w:val="20"/>
              </w:rPr>
              <w:t>ere sido contratada por los Ser</w:t>
            </w:r>
            <w:r w:rsidRPr="0027179E">
              <w:rPr>
                <w:sz w:val="20"/>
                <w:szCs w:val="20"/>
              </w:rPr>
              <w:t>vicios de Vivienda y Urbanización.</w:t>
            </w:r>
          </w:p>
          <w:p w14:paraId="67DBA2D5" w14:textId="77777777" w:rsidR="002E3F48" w:rsidRDefault="002E3F48" w:rsidP="002E3F48">
            <w:pPr>
              <w:pStyle w:val="Prrafodelista"/>
              <w:numPr>
                <w:ilvl w:val="0"/>
                <w:numId w:val="36"/>
              </w:numPr>
              <w:spacing w:before="120" w:line="276" w:lineRule="auto"/>
              <w:ind w:left="448" w:right="170" w:hanging="284"/>
              <w:contextualSpacing w:val="0"/>
              <w:jc w:val="both"/>
              <w:rPr>
                <w:sz w:val="20"/>
                <w:szCs w:val="20"/>
              </w:rPr>
            </w:pPr>
            <w:r w:rsidRPr="0027179E">
              <w:rPr>
                <w:sz w:val="20"/>
                <w:szCs w:val="20"/>
              </w:rPr>
              <w:t>Conjuntos de viviendas sociales de 3 o más pisos.</w:t>
            </w:r>
          </w:p>
          <w:p w14:paraId="7002C3EE" w14:textId="77777777" w:rsidR="002E3F48" w:rsidRDefault="002E3F48" w:rsidP="002E3F48">
            <w:pPr>
              <w:pStyle w:val="Prrafodelista"/>
              <w:numPr>
                <w:ilvl w:val="0"/>
                <w:numId w:val="36"/>
              </w:numPr>
              <w:spacing w:before="120" w:line="276" w:lineRule="auto"/>
              <w:ind w:left="448" w:right="170" w:hanging="284"/>
              <w:contextualSpacing w:val="0"/>
              <w:jc w:val="both"/>
              <w:rPr>
                <w:sz w:val="20"/>
                <w:szCs w:val="20"/>
              </w:rPr>
            </w:pPr>
            <w:r w:rsidRPr="0027179E">
              <w:rPr>
                <w:sz w:val="20"/>
                <w:szCs w:val="20"/>
              </w:rPr>
              <w:t>Conjuntos de viviendas de 3 o más pisos que no sean sociales.</w:t>
            </w:r>
          </w:p>
          <w:p w14:paraId="62D3D338" w14:textId="77F2305A" w:rsidR="002E3F48" w:rsidRDefault="002E3F48" w:rsidP="002E3F48">
            <w:pPr>
              <w:pStyle w:val="Prrafodelista"/>
              <w:numPr>
                <w:ilvl w:val="0"/>
                <w:numId w:val="36"/>
              </w:numPr>
              <w:spacing w:before="120" w:line="276" w:lineRule="auto"/>
              <w:ind w:left="448" w:right="170" w:hanging="284"/>
              <w:contextualSpacing w:val="0"/>
              <w:jc w:val="both"/>
              <w:rPr>
                <w:sz w:val="20"/>
                <w:szCs w:val="20"/>
              </w:rPr>
            </w:pPr>
            <w:r w:rsidRPr="0027179E">
              <w:rPr>
                <w:color w:val="2F5496" w:themeColor="accent5" w:themeShade="BF"/>
                <w:sz w:val="20"/>
                <w:szCs w:val="20"/>
              </w:rPr>
              <w:t>Edificios de 3 o más pisos divididos en unidades destinadas al arriendo por piezas o habitaciones</w:t>
            </w:r>
            <w:r>
              <w:rPr>
                <w:sz w:val="20"/>
                <w:szCs w:val="20"/>
              </w:rPr>
              <w:t>.</w:t>
            </w:r>
          </w:p>
          <w:p w14:paraId="352379A6" w14:textId="0F4846E1" w:rsidR="002E3F48" w:rsidRDefault="002E3F48" w:rsidP="002E3F48">
            <w:pPr>
              <w:pStyle w:val="Prrafodelista"/>
              <w:numPr>
                <w:ilvl w:val="0"/>
                <w:numId w:val="36"/>
              </w:numPr>
              <w:spacing w:before="120" w:line="276" w:lineRule="auto"/>
              <w:ind w:left="448" w:right="170" w:hanging="284"/>
              <w:contextualSpacing w:val="0"/>
              <w:jc w:val="both"/>
              <w:rPr>
                <w:sz w:val="20"/>
                <w:szCs w:val="20"/>
              </w:rPr>
            </w:pPr>
            <w:r w:rsidRPr="0027179E">
              <w:rPr>
                <w:sz w:val="20"/>
                <w:szCs w:val="20"/>
              </w:rPr>
              <w:t>Edificios de 3 o más pisos cuyo destino sea uso exclusivo oficinas privadas.</w:t>
            </w:r>
          </w:p>
          <w:p w14:paraId="7EE0F52C" w14:textId="77777777" w:rsidR="002E3F48" w:rsidRDefault="002E3F48" w:rsidP="002E3F48">
            <w:pPr>
              <w:pStyle w:val="Prrafodelista"/>
              <w:numPr>
                <w:ilvl w:val="0"/>
                <w:numId w:val="36"/>
              </w:numPr>
              <w:spacing w:before="120" w:line="276" w:lineRule="auto"/>
              <w:ind w:left="448" w:right="170" w:hanging="284"/>
              <w:contextualSpacing w:val="0"/>
              <w:jc w:val="both"/>
              <w:rPr>
                <w:sz w:val="20"/>
                <w:szCs w:val="20"/>
              </w:rPr>
            </w:pPr>
            <w:r w:rsidRPr="0027179E">
              <w:rPr>
                <w:sz w:val="20"/>
                <w:szCs w:val="20"/>
              </w:rPr>
              <w:t>Edificios que deban mantenerse en operación ante situaciones de emergencia, tales como hospitales, cuarteles de bomberos, cuarteles policiales, edificaciones destinadas a centros de control de empresas de servicios energéticos y sanitarios, emisoras de telecomunicaciones.</w:t>
            </w:r>
          </w:p>
          <w:p w14:paraId="16601FEF" w14:textId="69A876C3" w:rsidR="002E3F48" w:rsidRPr="0027179E" w:rsidRDefault="002E3F48" w:rsidP="002E3F48">
            <w:pPr>
              <w:pStyle w:val="Prrafodelista"/>
              <w:numPr>
                <w:ilvl w:val="0"/>
                <w:numId w:val="36"/>
              </w:numPr>
              <w:spacing w:before="120" w:line="276" w:lineRule="auto"/>
              <w:ind w:left="448" w:right="170" w:hanging="284"/>
              <w:contextualSpacing w:val="0"/>
              <w:jc w:val="both"/>
              <w:rPr>
                <w:sz w:val="20"/>
                <w:szCs w:val="20"/>
              </w:rPr>
            </w:pPr>
            <w:r w:rsidRPr="0027179E">
              <w:rPr>
                <w:sz w:val="20"/>
                <w:szCs w:val="20"/>
              </w:rPr>
              <w:t>Edificios cuyo cálculo estructural esté basado en normas extranjeras, las cuales deberán ser declaradas al momento de solicitar el permiso.</w:t>
            </w:r>
          </w:p>
        </w:tc>
        <w:tc>
          <w:tcPr>
            <w:tcW w:w="18711" w:type="dxa"/>
          </w:tcPr>
          <w:p w14:paraId="00B5CF65" w14:textId="77777777" w:rsidR="002E3F48" w:rsidRPr="004E04FE" w:rsidRDefault="002E3F48" w:rsidP="002E3F48">
            <w:pPr>
              <w:ind w:right="127"/>
              <w:jc w:val="both"/>
              <w:rPr>
                <w:rFonts w:cstheme="minorHAnsi"/>
                <w:bCs/>
                <w:sz w:val="20"/>
                <w:szCs w:val="20"/>
              </w:rPr>
            </w:pPr>
          </w:p>
        </w:tc>
      </w:tr>
      <w:tr w:rsidR="002E3F48" w:rsidRPr="00536FF3" w14:paraId="7929C936" w14:textId="77777777" w:rsidTr="00367A46">
        <w:trPr>
          <w:trHeight w:val="567"/>
          <w:jc w:val="center"/>
        </w:trPr>
        <w:tc>
          <w:tcPr>
            <w:tcW w:w="18711" w:type="dxa"/>
            <w:gridSpan w:val="3"/>
            <w:vAlign w:val="center"/>
          </w:tcPr>
          <w:p w14:paraId="6A6D2B7A" w14:textId="693E6822" w:rsidR="002E3F48" w:rsidRPr="004E04FE" w:rsidRDefault="002E3F48" w:rsidP="002E3F48">
            <w:pPr>
              <w:ind w:right="127"/>
              <w:jc w:val="both"/>
              <w:rPr>
                <w:rFonts w:cstheme="minorHAnsi"/>
                <w:bCs/>
                <w:sz w:val="20"/>
                <w:szCs w:val="20"/>
              </w:rPr>
            </w:pPr>
            <w:r>
              <w:rPr>
                <w:rFonts w:cstheme="minorHAnsi"/>
                <w:b/>
                <w:color w:val="000000"/>
              </w:rPr>
              <w:t>DISPOSICIÓN TRANSITORIA</w:t>
            </w:r>
          </w:p>
        </w:tc>
      </w:tr>
      <w:tr w:rsidR="000F0C86" w:rsidRPr="00536FF3" w14:paraId="73F31870" w14:textId="77777777" w:rsidTr="00367A46">
        <w:trPr>
          <w:trHeight w:val="290"/>
          <w:jc w:val="center"/>
        </w:trPr>
        <w:tc>
          <w:tcPr>
            <w:tcW w:w="18711" w:type="dxa"/>
            <w:vAlign w:val="center"/>
          </w:tcPr>
          <w:p w14:paraId="531915B3" w14:textId="5395EE8D" w:rsidR="002E3F48" w:rsidRDefault="002E3F48" w:rsidP="002E3F48">
            <w:pPr>
              <w:jc w:val="center"/>
              <w:rPr>
                <w:rFonts w:cstheme="minorHAnsi"/>
                <w:b/>
                <w:bCs/>
                <w:sz w:val="20"/>
                <w:szCs w:val="20"/>
              </w:rPr>
            </w:pPr>
            <w:r>
              <w:rPr>
                <w:rFonts w:cstheme="minorHAnsi"/>
                <w:b/>
                <w:bCs/>
                <w:sz w:val="20"/>
                <w:szCs w:val="20"/>
              </w:rPr>
              <w:t>-</w:t>
            </w:r>
          </w:p>
        </w:tc>
        <w:tc>
          <w:tcPr>
            <w:tcW w:w="18711" w:type="dxa"/>
          </w:tcPr>
          <w:p w14:paraId="044A373F" w14:textId="77777777" w:rsidR="002E3F48" w:rsidRDefault="002E3F48" w:rsidP="002E3F48">
            <w:pPr>
              <w:ind w:right="127"/>
              <w:jc w:val="both"/>
              <w:rPr>
                <w:rFonts w:cstheme="minorHAnsi"/>
                <w:bCs/>
                <w:sz w:val="20"/>
                <w:szCs w:val="20"/>
              </w:rPr>
            </w:pPr>
          </w:p>
          <w:p w14:paraId="2DD8363A" w14:textId="2219D198" w:rsidR="00940450" w:rsidRPr="003B6001" w:rsidRDefault="00940450" w:rsidP="002E3F48">
            <w:pPr>
              <w:spacing w:line="276" w:lineRule="auto"/>
              <w:ind w:left="164" w:right="172"/>
              <w:jc w:val="both"/>
              <w:rPr>
                <w:color w:val="2F5496" w:themeColor="accent5" w:themeShade="BF"/>
                <w:sz w:val="20"/>
                <w:szCs w:val="20"/>
              </w:rPr>
            </w:pPr>
            <w:r w:rsidRPr="00940450">
              <w:rPr>
                <w:color w:val="2F5496" w:themeColor="accent5" w:themeShade="BF"/>
                <w:sz w:val="20"/>
                <w:szCs w:val="20"/>
              </w:rPr>
              <w:t>Los inmuebles que se encuentren destinados</w:t>
            </w:r>
            <w:r w:rsidR="000F0C86">
              <w:rPr>
                <w:color w:val="2F5496" w:themeColor="accent5" w:themeShade="BF"/>
                <w:sz w:val="20"/>
                <w:szCs w:val="20"/>
              </w:rPr>
              <w:t>,</w:t>
            </w:r>
            <w:r w:rsidRPr="00940450">
              <w:rPr>
                <w:color w:val="2F5496" w:themeColor="accent5" w:themeShade="BF"/>
                <w:sz w:val="20"/>
                <w:szCs w:val="20"/>
              </w:rPr>
              <w:t xml:space="preserve"> total o parcialmente al arriendo por piezas o habitaciones para uso residencial, dispondrán de un plazo de veinticuatro meses a partir de la fecha de publicación del presente Decreto en el Diario Oficial, para adecuarse a las disposiciones contenidas en el Capítulo 15 de la Ordenanza General de Urbanismo y Construcciones.</w:t>
            </w:r>
          </w:p>
          <w:p w14:paraId="04626240" w14:textId="4774D481" w:rsidR="002E3F48" w:rsidRPr="003B6001" w:rsidRDefault="002E3F48" w:rsidP="002E3F48">
            <w:pPr>
              <w:spacing w:line="276" w:lineRule="auto"/>
              <w:ind w:left="164" w:right="172"/>
              <w:jc w:val="both"/>
              <w:rPr>
                <w:sz w:val="20"/>
                <w:szCs w:val="20"/>
              </w:rPr>
            </w:pPr>
          </w:p>
        </w:tc>
        <w:tc>
          <w:tcPr>
            <w:tcW w:w="18711" w:type="dxa"/>
          </w:tcPr>
          <w:p w14:paraId="4D5FEC25" w14:textId="77777777" w:rsidR="002E3F48" w:rsidRPr="004E04FE" w:rsidRDefault="002E3F48" w:rsidP="002E3F48">
            <w:pPr>
              <w:ind w:right="127"/>
              <w:jc w:val="both"/>
              <w:rPr>
                <w:rFonts w:cstheme="minorHAnsi"/>
                <w:bCs/>
                <w:sz w:val="20"/>
                <w:szCs w:val="20"/>
              </w:rPr>
            </w:pPr>
          </w:p>
        </w:tc>
      </w:tr>
    </w:tbl>
    <w:p w14:paraId="26CAD2E4" w14:textId="226DD833" w:rsidR="003F6D62" w:rsidRPr="003F6D62" w:rsidRDefault="003F6D62" w:rsidP="00DA7787"/>
    <w:sectPr w:rsidR="003F6D62" w:rsidRPr="003F6D62" w:rsidSect="00367A46">
      <w:headerReference w:type="default" r:id="rId8"/>
      <w:footerReference w:type="default" r:id="rId9"/>
      <w:headerReference w:type="first" r:id="rId10"/>
      <w:pgSz w:w="24477" w:h="15842" w:orient="landscape" w:code="3"/>
      <w:pgMar w:top="1701" w:right="1701"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20CCD" w16cex:dateUtc="2021-03-09T18:03:00Z"/>
  <w16cex:commentExtensible w16cex:durableId="23F1F43D" w16cex:dateUtc="2021-03-09T16:18:00Z"/>
  <w16cex:commentExtensible w16cex:durableId="23F1F61E" w16cex:dateUtc="2021-03-09T16:26:00Z"/>
  <w16cex:commentExtensible w16cex:durableId="23F1F90B" w16cex:dateUtc="2021-03-09T16:39:00Z"/>
  <w16cex:commentExtensible w16cex:durableId="23F20E4F" w16cex:dateUtc="2021-03-09T18:10:00Z"/>
  <w16cex:commentExtensible w16cex:durableId="23F20F13" w16cex:dateUtc="2021-03-09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551246" w16cid:durableId="23F1EE72"/>
  <w16cid:commentId w16cid:paraId="02A50057" w16cid:durableId="23F1EE73"/>
  <w16cid:commentId w16cid:paraId="646B7D74" w16cid:durableId="23F20CCD"/>
  <w16cid:commentId w16cid:paraId="5974D0E9" w16cid:durableId="23F1EE74"/>
  <w16cid:commentId w16cid:paraId="2032EF40" w16cid:durableId="23F1F43D"/>
  <w16cid:commentId w16cid:paraId="752E44CD" w16cid:durableId="23F1EE75"/>
  <w16cid:commentId w16cid:paraId="38D5D71A" w16cid:durableId="23F1EE76"/>
  <w16cid:commentId w16cid:paraId="39B7C2F9" w16cid:durableId="23F1F61E"/>
  <w16cid:commentId w16cid:paraId="4283B040" w16cid:durableId="23F1F90B"/>
  <w16cid:commentId w16cid:paraId="7097B375" w16cid:durableId="23F1EE77"/>
  <w16cid:commentId w16cid:paraId="31540015" w16cid:durableId="23F20E4F"/>
  <w16cid:commentId w16cid:paraId="0FF536DB" w16cid:durableId="23F20F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9FC24" w14:textId="77777777" w:rsidR="00BA306D" w:rsidRDefault="00BA306D" w:rsidP="0020013C">
      <w:pPr>
        <w:spacing w:after="0" w:line="240" w:lineRule="auto"/>
      </w:pPr>
      <w:r>
        <w:separator/>
      </w:r>
    </w:p>
  </w:endnote>
  <w:endnote w:type="continuationSeparator" w:id="0">
    <w:p w14:paraId="33D4C116" w14:textId="77777777" w:rsidR="00BA306D" w:rsidRDefault="00BA306D" w:rsidP="0020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107920"/>
      <w:docPartObj>
        <w:docPartGallery w:val="Page Numbers (Bottom of Page)"/>
        <w:docPartUnique/>
      </w:docPartObj>
    </w:sdtPr>
    <w:sdtEndPr/>
    <w:sdtContent>
      <w:p w14:paraId="2CFD4677" w14:textId="1BE3830C" w:rsidR="000C0B4B" w:rsidRDefault="000C0B4B" w:rsidP="0020013C">
        <w:pPr>
          <w:pStyle w:val="Piedepgina"/>
          <w:tabs>
            <w:tab w:val="clear" w:pos="4419"/>
            <w:tab w:val="clear" w:pos="8838"/>
            <w:tab w:val="left" w:pos="0"/>
            <w:tab w:val="right" w:pos="12049"/>
          </w:tabs>
          <w:jc w:val="both"/>
        </w:pPr>
        <w:r>
          <w:t>División de Desarrollo Urbano – Departamento de Planificación y Normas Urbanas</w:t>
        </w:r>
        <w:r>
          <w:tab/>
        </w:r>
        <w:r>
          <w:tab/>
        </w:r>
        <w:r>
          <w:fldChar w:fldCharType="begin"/>
        </w:r>
        <w:r>
          <w:instrText>PAGE   \* MERGEFORMAT</w:instrText>
        </w:r>
        <w:r>
          <w:fldChar w:fldCharType="separate"/>
        </w:r>
        <w:r w:rsidR="00D76BF5" w:rsidRPr="00D76BF5">
          <w:rPr>
            <w:noProof/>
            <w:lang w:val="es-ES"/>
          </w:rPr>
          <w:t>9</w:t>
        </w:r>
        <w:r>
          <w:fldChar w:fldCharType="end"/>
        </w:r>
      </w:p>
    </w:sdtContent>
  </w:sdt>
  <w:p w14:paraId="0B84FB48" w14:textId="77777777" w:rsidR="000C0B4B" w:rsidRDefault="000C0B4B" w:rsidP="0020013C">
    <w:pPr>
      <w:pStyle w:val="Piedepgina"/>
      <w:tabs>
        <w:tab w:val="clear" w:pos="4419"/>
        <w:tab w:val="clear" w:pos="8838"/>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0854B" w14:textId="77777777" w:rsidR="00BA306D" w:rsidRDefault="00BA306D" w:rsidP="0020013C">
      <w:pPr>
        <w:spacing w:after="0" w:line="240" w:lineRule="auto"/>
      </w:pPr>
      <w:r>
        <w:separator/>
      </w:r>
    </w:p>
  </w:footnote>
  <w:footnote w:type="continuationSeparator" w:id="0">
    <w:p w14:paraId="6ADA895B" w14:textId="77777777" w:rsidR="00BA306D" w:rsidRDefault="00BA306D" w:rsidP="00200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1E62" w14:textId="77777777" w:rsidR="000C0B4B" w:rsidRDefault="000C0B4B">
    <w:pPr>
      <w:pStyle w:val="Encabezado"/>
    </w:pPr>
  </w:p>
  <w:p w14:paraId="44915BA9" w14:textId="77777777" w:rsidR="000C0B4B" w:rsidRDefault="000C0B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01D51" w14:textId="77777777" w:rsidR="000C0B4B" w:rsidRDefault="000C0B4B" w:rsidP="0020013C">
    <w:pPr>
      <w:pStyle w:val="Encabezado"/>
      <w:ind w:firstLine="708"/>
    </w:pPr>
    <w:r w:rsidRPr="000E1104">
      <w:rPr>
        <w:noProof/>
        <w:lang w:eastAsia="es-CL"/>
      </w:rPr>
      <w:drawing>
        <wp:anchor distT="0" distB="0" distL="114300" distR="114300" simplePos="0" relativeHeight="251659264" behindDoc="1" locked="0" layoutInCell="1" allowOverlap="1" wp14:anchorId="110817BD" wp14:editId="7E83633B">
          <wp:simplePos x="0" y="0"/>
          <wp:positionH relativeFrom="margin">
            <wp:align>left</wp:align>
          </wp:positionH>
          <wp:positionV relativeFrom="paragraph">
            <wp:posOffset>-96269</wp:posOffset>
          </wp:positionV>
          <wp:extent cx="1028700" cy="962025"/>
          <wp:effectExtent l="0" t="0" r="0" b="9525"/>
          <wp:wrapThrough wrapText="bothSides">
            <wp:wrapPolygon edited="0">
              <wp:start x="0" y="0"/>
              <wp:lineTo x="0" y="21386"/>
              <wp:lineTo x="21200" y="21386"/>
              <wp:lineTo x="21200" y="0"/>
              <wp:lineTo x="0" y="0"/>
            </wp:wrapPolygon>
          </wp:wrapThrough>
          <wp:docPr id="21" name="Imagen 21"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vienda-y-urbanismo"/>
                  <pic:cNvPicPr>
                    <a:picLocks noChangeAspect="1" noChangeArrowheads="1"/>
                  </pic:cNvPicPr>
                </pic:nvPicPr>
                <pic:blipFill>
                  <a:blip r:embed="rId1" cstate="print"/>
                  <a:srcRect/>
                  <a:stretch>
                    <a:fillRect/>
                  </a:stretch>
                </pic:blipFill>
                <pic:spPr bwMode="auto">
                  <a:xfrm>
                    <a:off x="0" y="0"/>
                    <a:ext cx="1028700" cy="962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A50"/>
    <w:multiLevelType w:val="hybridMultilevel"/>
    <w:tmpl w:val="99B425FE"/>
    <w:lvl w:ilvl="0" w:tplc="340A000F">
      <w:start w:val="1"/>
      <w:numFmt w:val="decimal"/>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1" w15:restartNumberingAfterBreak="0">
    <w:nsid w:val="035A4B06"/>
    <w:multiLevelType w:val="hybridMultilevel"/>
    <w:tmpl w:val="C2FE02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8F404D"/>
    <w:multiLevelType w:val="hybridMultilevel"/>
    <w:tmpl w:val="A75E6FD8"/>
    <w:lvl w:ilvl="0" w:tplc="9B7A3D00">
      <w:start w:val="3"/>
      <w:numFmt w:val="lowerLetter"/>
      <w:lvlText w:val="%1)"/>
      <w:lvlJc w:val="left"/>
      <w:pPr>
        <w:ind w:left="1121" w:hanging="360"/>
      </w:pPr>
      <w:rPr>
        <w:rFonts w:hint="default"/>
      </w:r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3" w15:restartNumberingAfterBreak="0">
    <w:nsid w:val="09146518"/>
    <w:multiLevelType w:val="hybridMultilevel"/>
    <w:tmpl w:val="AC8AC83A"/>
    <w:lvl w:ilvl="0" w:tplc="7EC486EC">
      <w:start w:val="1"/>
      <w:numFmt w:val="lowerLetter"/>
      <w:lvlText w:val="%1)"/>
      <w:lvlJc w:val="left"/>
      <w:pPr>
        <w:ind w:left="640" w:hanging="375"/>
      </w:pPr>
      <w:rPr>
        <w:rFonts w:hint="default"/>
      </w:rPr>
    </w:lvl>
    <w:lvl w:ilvl="1" w:tplc="340A0019" w:tentative="1">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4" w15:restartNumberingAfterBreak="0">
    <w:nsid w:val="0FF60051"/>
    <w:multiLevelType w:val="hybridMultilevel"/>
    <w:tmpl w:val="3182D03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6212FA"/>
    <w:multiLevelType w:val="hybridMultilevel"/>
    <w:tmpl w:val="6694CC54"/>
    <w:lvl w:ilvl="0" w:tplc="10840438">
      <w:start w:val="9"/>
      <w:numFmt w:val="decimal"/>
      <w:lvlText w:val="%1."/>
      <w:lvlJc w:val="left"/>
      <w:pPr>
        <w:ind w:left="62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A16765"/>
    <w:multiLevelType w:val="hybridMultilevel"/>
    <w:tmpl w:val="5F4A1FF6"/>
    <w:lvl w:ilvl="0" w:tplc="741025D2">
      <w:start w:val="1"/>
      <w:numFmt w:val="decimal"/>
      <w:lvlText w:val="%1."/>
      <w:lvlJc w:val="left"/>
      <w:pPr>
        <w:ind w:left="625" w:hanging="360"/>
      </w:pPr>
      <w:rPr>
        <w:rFonts w:hint="default"/>
      </w:rPr>
    </w:lvl>
    <w:lvl w:ilvl="1" w:tplc="340A0019" w:tentative="1">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7" w15:restartNumberingAfterBreak="0">
    <w:nsid w:val="1B7B62A8"/>
    <w:multiLevelType w:val="hybridMultilevel"/>
    <w:tmpl w:val="D6645DB8"/>
    <w:lvl w:ilvl="0" w:tplc="340A000F">
      <w:start w:val="1"/>
      <w:numFmt w:val="decimal"/>
      <w:lvlText w:val="%1."/>
      <w:lvlJc w:val="left"/>
      <w:pPr>
        <w:ind w:left="2136" w:hanging="360"/>
      </w:pPr>
      <w:rPr>
        <w:rFonts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8" w15:restartNumberingAfterBreak="0">
    <w:nsid w:val="1C7D26C6"/>
    <w:multiLevelType w:val="hybridMultilevel"/>
    <w:tmpl w:val="5842493A"/>
    <w:lvl w:ilvl="0" w:tplc="F79EF456">
      <w:start w:val="4"/>
      <w:numFmt w:val="decimal"/>
      <w:lvlText w:val="%1."/>
      <w:lvlJc w:val="left"/>
      <w:pPr>
        <w:ind w:left="62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DB25CA0"/>
    <w:multiLevelType w:val="hybridMultilevel"/>
    <w:tmpl w:val="AC8AC83A"/>
    <w:lvl w:ilvl="0" w:tplc="7EC486EC">
      <w:start w:val="1"/>
      <w:numFmt w:val="lowerLetter"/>
      <w:lvlText w:val="%1)"/>
      <w:lvlJc w:val="left"/>
      <w:pPr>
        <w:ind w:left="640" w:hanging="375"/>
      </w:pPr>
      <w:rPr>
        <w:rFonts w:hint="default"/>
      </w:rPr>
    </w:lvl>
    <w:lvl w:ilvl="1" w:tplc="340A0019" w:tentative="1">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10" w15:restartNumberingAfterBreak="0">
    <w:nsid w:val="1EEC6DF7"/>
    <w:multiLevelType w:val="hybridMultilevel"/>
    <w:tmpl w:val="AC8AC83A"/>
    <w:lvl w:ilvl="0" w:tplc="7EC486EC">
      <w:start w:val="1"/>
      <w:numFmt w:val="lowerLetter"/>
      <w:lvlText w:val="%1)"/>
      <w:lvlJc w:val="left"/>
      <w:pPr>
        <w:ind w:left="640" w:hanging="375"/>
      </w:pPr>
      <w:rPr>
        <w:rFonts w:hint="default"/>
      </w:rPr>
    </w:lvl>
    <w:lvl w:ilvl="1" w:tplc="340A0019" w:tentative="1">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11" w15:restartNumberingAfterBreak="0">
    <w:nsid w:val="21BB2867"/>
    <w:multiLevelType w:val="hybridMultilevel"/>
    <w:tmpl w:val="620030BC"/>
    <w:lvl w:ilvl="0" w:tplc="340A000F">
      <w:start w:val="1"/>
      <w:numFmt w:val="decimal"/>
      <w:lvlText w:val="%1."/>
      <w:lvlJc w:val="left"/>
      <w:pPr>
        <w:ind w:left="4686" w:hanging="360"/>
      </w:pPr>
    </w:lvl>
    <w:lvl w:ilvl="1" w:tplc="340A0019" w:tentative="1">
      <w:start w:val="1"/>
      <w:numFmt w:val="lowerLetter"/>
      <w:lvlText w:val="%2."/>
      <w:lvlJc w:val="left"/>
      <w:pPr>
        <w:ind w:left="5406" w:hanging="360"/>
      </w:pPr>
    </w:lvl>
    <w:lvl w:ilvl="2" w:tplc="340A001B" w:tentative="1">
      <w:start w:val="1"/>
      <w:numFmt w:val="lowerRoman"/>
      <w:lvlText w:val="%3."/>
      <w:lvlJc w:val="right"/>
      <w:pPr>
        <w:ind w:left="6126" w:hanging="180"/>
      </w:pPr>
    </w:lvl>
    <w:lvl w:ilvl="3" w:tplc="340A000F" w:tentative="1">
      <w:start w:val="1"/>
      <w:numFmt w:val="decimal"/>
      <w:lvlText w:val="%4."/>
      <w:lvlJc w:val="left"/>
      <w:pPr>
        <w:ind w:left="6846" w:hanging="360"/>
      </w:pPr>
    </w:lvl>
    <w:lvl w:ilvl="4" w:tplc="340A0019" w:tentative="1">
      <w:start w:val="1"/>
      <w:numFmt w:val="lowerLetter"/>
      <w:lvlText w:val="%5."/>
      <w:lvlJc w:val="left"/>
      <w:pPr>
        <w:ind w:left="7566" w:hanging="360"/>
      </w:pPr>
    </w:lvl>
    <w:lvl w:ilvl="5" w:tplc="340A001B" w:tentative="1">
      <w:start w:val="1"/>
      <w:numFmt w:val="lowerRoman"/>
      <w:lvlText w:val="%6."/>
      <w:lvlJc w:val="right"/>
      <w:pPr>
        <w:ind w:left="8286" w:hanging="180"/>
      </w:pPr>
    </w:lvl>
    <w:lvl w:ilvl="6" w:tplc="340A000F" w:tentative="1">
      <w:start w:val="1"/>
      <w:numFmt w:val="decimal"/>
      <w:lvlText w:val="%7."/>
      <w:lvlJc w:val="left"/>
      <w:pPr>
        <w:ind w:left="9006" w:hanging="360"/>
      </w:pPr>
    </w:lvl>
    <w:lvl w:ilvl="7" w:tplc="340A0019" w:tentative="1">
      <w:start w:val="1"/>
      <w:numFmt w:val="lowerLetter"/>
      <w:lvlText w:val="%8."/>
      <w:lvlJc w:val="left"/>
      <w:pPr>
        <w:ind w:left="9726" w:hanging="360"/>
      </w:pPr>
    </w:lvl>
    <w:lvl w:ilvl="8" w:tplc="340A001B" w:tentative="1">
      <w:start w:val="1"/>
      <w:numFmt w:val="lowerRoman"/>
      <w:lvlText w:val="%9."/>
      <w:lvlJc w:val="right"/>
      <w:pPr>
        <w:ind w:left="10446" w:hanging="180"/>
      </w:pPr>
    </w:lvl>
  </w:abstractNum>
  <w:abstractNum w:abstractNumId="12" w15:restartNumberingAfterBreak="0">
    <w:nsid w:val="24197A19"/>
    <w:multiLevelType w:val="hybridMultilevel"/>
    <w:tmpl w:val="C2FE02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85D209F"/>
    <w:multiLevelType w:val="hybridMultilevel"/>
    <w:tmpl w:val="D6645DB8"/>
    <w:lvl w:ilvl="0" w:tplc="340A000F">
      <w:start w:val="1"/>
      <w:numFmt w:val="decimal"/>
      <w:lvlText w:val="%1."/>
      <w:lvlJc w:val="left"/>
      <w:pPr>
        <w:ind w:left="2136" w:hanging="360"/>
      </w:pPr>
      <w:rPr>
        <w:rFonts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4" w15:restartNumberingAfterBreak="0">
    <w:nsid w:val="289D4210"/>
    <w:multiLevelType w:val="hybridMultilevel"/>
    <w:tmpl w:val="37924A46"/>
    <w:lvl w:ilvl="0" w:tplc="F2A8B00C">
      <w:start w:val="1"/>
      <w:numFmt w:val="lowerLetter"/>
      <w:lvlText w:val="%1)"/>
      <w:lvlJc w:val="left"/>
      <w:pPr>
        <w:ind w:left="985" w:hanging="360"/>
      </w:pPr>
      <w:rPr>
        <w:rFonts w:hint="default"/>
      </w:rPr>
    </w:lvl>
    <w:lvl w:ilvl="1" w:tplc="340A0019" w:tentative="1">
      <w:start w:val="1"/>
      <w:numFmt w:val="lowerLetter"/>
      <w:lvlText w:val="%2."/>
      <w:lvlJc w:val="left"/>
      <w:pPr>
        <w:ind w:left="1705" w:hanging="360"/>
      </w:pPr>
    </w:lvl>
    <w:lvl w:ilvl="2" w:tplc="340A001B" w:tentative="1">
      <w:start w:val="1"/>
      <w:numFmt w:val="lowerRoman"/>
      <w:lvlText w:val="%3."/>
      <w:lvlJc w:val="right"/>
      <w:pPr>
        <w:ind w:left="2425" w:hanging="180"/>
      </w:pPr>
    </w:lvl>
    <w:lvl w:ilvl="3" w:tplc="340A000F" w:tentative="1">
      <w:start w:val="1"/>
      <w:numFmt w:val="decimal"/>
      <w:lvlText w:val="%4."/>
      <w:lvlJc w:val="left"/>
      <w:pPr>
        <w:ind w:left="3145" w:hanging="360"/>
      </w:pPr>
    </w:lvl>
    <w:lvl w:ilvl="4" w:tplc="340A0019" w:tentative="1">
      <w:start w:val="1"/>
      <w:numFmt w:val="lowerLetter"/>
      <w:lvlText w:val="%5."/>
      <w:lvlJc w:val="left"/>
      <w:pPr>
        <w:ind w:left="3865" w:hanging="360"/>
      </w:pPr>
    </w:lvl>
    <w:lvl w:ilvl="5" w:tplc="340A001B" w:tentative="1">
      <w:start w:val="1"/>
      <w:numFmt w:val="lowerRoman"/>
      <w:lvlText w:val="%6."/>
      <w:lvlJc w:val="right"/>
      <w:pPr>
        <w:ind w:left="4585" w:hanging="180"/>
      </w:pPr>
    </w:lvl>
    <w:lvl w:ilvl="6" w:tplc="340A000F" w:tentative="1">
      <w:start w:val="1"/>
      <w:numFmt w:val="decimal"/>
      <w:lvlText w:val="%7."/>
      <w:lvlJc w:val="left"/>
      <w:pPr>
        <w:ind w:left="5305" w:hanging="360"/>
      </w:pPr>
    </w:lvl>
    <w:lvl w:ilvl="7" w:tplc="340A0019" w:tentative="1">
      <w:start w:val="1"/>
      <w:numFmt w:val="lowerLetter"/>
      <w:lvlText w:val="%8."/>
      <w:lvlJc w:val="left"/>
      <w:pPr>
        <w:ind w:left="6025" w:hanging="360"/>
      </w:pPr>
    </w:lvl>
    <w:lvl w:ilvl="8" w:tplc="340A001B" w:tentative="1">
      <w:start w:val="1"/>
      <w:numFmt w:val="lowerRoman"/>
      <w:lvlText w:val="%9."/>
      <w:lvlJc w:val="right"/>
      <w:pPr>
        <w:ind w:left="6745" w:hanging="180"/>
      </w:pPr>
    </w:lvl>
  </w:abstractNum>
  <w:abstractNum w:abstractNumId="15" w15:restartNumberingAfterBreak="0">
    <w:nsid w:val="2C347C7F"/>
    <w:multiLevelType w:val="hybridMultilevel"/>
    <w:tmpl w:val="D6645DB8"/>
    <w:lvl w:ilvl="0" w:tplc="340A000F">
      <w:start w:val="1"/>
      <w:numFmt w:val="decimal"/>
      <w:lvlText w:val="%1."/>
      <w:lvlJc w:val="left"/>
      <w:pPr>
        <w:ind w:left="2136" w:hanging="360"/>
      </w:pPr>
      <w:rPr>
        <w:rFonts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6" w15:restartNumberingAfterBreak="0">
    <w:nsid w:val="2F7260BA"/>
    <w:multiLevelType w:val="hybridMultilevel"/>
    <w:tmpl w:val="8C088D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0304B0B"/>
    <w:multiLevelType w:val="hybridMultilevel"/>
    <w:tmpl w:val="3182D03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3F56B44"/>
    <w:multiLevelType w:val="hybridMultilevel"/>
    <w:tmpl w:val="B9C40A18"/>
    <w:lvl w:ilvl="0" w:tplc="4F1A2C60">
      <w:numFmt w:val="bullet"/>
      <w:lvlText w:val="-"/>
      <w:lvlJc w:val="left"/>
      <w:pPr>
        <w:ind w:left="1065" w:hanging="360"/>
      </w:pPr>
      <w:rPr>
        <w:rFonts w:ascii="Calibri" w:eastAsiaTheme="minorHAnsi" w:hAnsi="Calibri" w:cs="Calibri" w:hint="default"/>
      </w:rPr>
    </w:lvl>
    <w:lvl w:ilvl="1" w:tplc="340A0003" w:tentative="1">
      <w:start w:val="1"/>
      <w:numFmt w:val="bullet"/>
      <w:lvlText w:val="o"/>
      <w:lvlJc w:val="left"/>
      <w:pPr>
        <w:ind w:left="1785" w:hanging="360"/>
      </w:pPr>
      <w:rPr>
        <w:rFonts w:ascii="Courier New" w:hAnsi="Courier New" w:cs="Courier New" w:hint="default"/>
      </w:rPr>
    </w:lvl>
    <w:lvl w:ilvl="2" w:tplc="340A0005" w:tentative="1">
      <w:start w:val="1"/>
      <w:numFmt w:val="bullet"/>
      <w:lvlText w:val=""/>
      <w:lvlJc w:val="left"/>
      <w:pPr>
        <w:ind w:left="2505" w:hanging="360"/>
      </w:pPr>
      <w:rPr>
        <w:rFonts w:ascii="Wingdings" w:hAnsi="Wingdings" w:hint="default"/>
      </w:rPr>
    </w:lvl>
    <w:lvl w:ilvl="3" w:tplc="340A0001" w:tentative="1">
      <w:start w:val="1"/>
      <w:numFmt w:val="bullet"/>
      <w:lvlText w:val=""/>
      <w:lvlJc w:val="left"/>
      <w:pPr>
        <w:ind w:left="3225" w:hanging="360"/>
      </w:pPr>
      <w:rPr>
        <w:rFonts w:ascii="Symbol" w:hAnsi="Symbol" w:hint="default"/>
      </w:rPr>
    </w:lvl>
    <w:lvl w:ilvl="4" w:tplc="340A0003" w:tentative="1">
      <w:start w:val="1"/>
      <w:numFmt w:val="bullet"/>
      <w:lvlText w:val="o"/>
      <w:lvlJc w:val="left"/>
      <w:pPr>
        <w:ind w:left="3945" w:hanging="360"/>
      </w:pPr>
      <w:rPr>
        <w:rFonts w:ascii="Courier New" w:hAnsi="Courier New" w:cs="Courier New" w:hint="default"/>
      </w:rPr>
    </w:lvl>
    <w:lvl w:ilvl="5" w:tplc="340A0005" w:tentative="1">
      <w:start w:val="1"/>
      <w:numFmt w:val="bullet"/>
      <w:lvlText w:val=""/>
      <w:lvlJc w:val="left"/>
      <w:pPr>
        <w:ind w:left="4665" w:hanging="360"/>
      </w:pPr>
      <w:rPr>
        <w:rFonts w:ascii="Wingdings" w:hAnsi="Wingdings" w:hint="default"/>
      </w:rPr>
    </w:lvl>
    <w:lvl w:ilvl="6" w:tplc="340A0001" w:tentative="1">
      <w:start w:val="1"/>
      <w:numFmt w:val="bullet"/>
      <w:lvlText w:val=""/>
      <w:lvlJc w:val="left"/>
      <w:pPr>
        <w:ind w:left="5385" w:hanging="360"/>
      </w:pPr>
      <w:rPr>
        <w:rFonts w:ascii="Symbol" w:hAnsi="Symbol" w:hint="default"/>
      </w:rPr>
    </w:lvl>
    <w:lvl w:ilvl="7" w:tplc="340A0003" w:tentative="1">
      <w:start w:val="1"/>
      <w:numFmt w:val="bullet"/>
      <w:lvlText w:val="o"/>
      <w:lvlJc w:val="left"/>
      <w:pPr>
        <w:ind w:left="6105" w:hanging="360"/>
      </w:pPr>
      <w:rPr>
        <w:rFonts w:ascii="Courier New" w:hAnsi="Courier New" w:cs="Courier New" w:hint="default"/>
      </w:rPr>
    </w:lvl>
    <w:lvl w:ilvl="8" w:tplc="340A0005" w:tentative="1">
      <w:start w:val="1"/>
      <w:numFmt w:val="bullet"/>
      <w:lvlText w:val=""/>
      <w:lvlJc w:val="left"/>
      <w:pPr>
        <w:ind w:left="6825" w:hanging="360"/>
      </w:pPr>
      <w:rPr>
        <w:rFonts w:ascii="Wingdings" w:hAnsi="Wingdings" w:hint="default"/>
      </w:rPr>
    </w:lvl>
  </w:abstractNum>
  <w:abstractNum w:abstractNumId="19" w15:restartNumberingAfterBreak="0">
    <w:nsid w:val="378B1EFB"/>
    <w:multiLevelType w:val="hybridMultilevel"/>
    <w:tmpl w:val="350C712E"/>
    <w:lvl w:ilvl="0" w:tplc="99D27A24">
      <w:start w:val="1"/>
      <w:numFmt w:val="lowerLetter"/>
      <w:lvlText w:val="%1)"/>
      <w:lvlJc w:val="left"/>
      <w:pPr>
        <w:ind w:left="718" w:hanging="360"/>
      </w:pPr>
      <w:rPr>
        <w:rFonts w:hint="default"/>
      </w:rPr>
    </w:lvl>
    <w:lvl w:ilvl="1" w:tplc="340A0019" w:tentative="1">
      <w:start w:val="1"/>
      <w:numFmt w:val="lowerLetter"/>
      <w:lvlText w:val="%2."/>
      <w:lvlJc w:val="left"/>
      <w:pPr>
        <w:ind w:left="1438" w:hanging="360"/>
      </w:pPr>
    </w:lvl>
    <w:lvl w:ilvl="2" w:tplc="340A001B" w:tentative="1">
      <w:start w:val="1"/>
      <w:numFmt w:val="lowerRoman"/>
      <w:lvlText w:val="%3."/>
      <w:lvlJc w:val="right"/>
      <w:pPr>
        <w:ind w:left="2158" w:hanging="180"/>
      </w:pPr>
    </w:lvl>
    <w:lvl w:ilvl="3" w:tplc="340A000F" w:tentative="1">
      <w:start w:val="1"/>
      <w:numFmt w:val="decimal"/>
      <w:lvlText w:val="%4."/>
      <w:lvlJc w:val="left"/>
      <w:pPr>
        <w:ind w:left="2878" w:hanging="360"/>
      </w:pPr>
    </w:lvl>
    <w:lvl w:ilvl="4" w:tplc="340A0019" w:tentative="1">
      <w:start w:val="1"/>
      <w:numFmt w:val="lowerLetter"/>
      <w:lvlText w:val="%5."/>
      <w:lvlJc w:val="left"/>
      <w:pPr>
        <w:ind w:left="3598" w:hanging="360"/>
      </w:pPr>
    </w:lvl>
    <w:lvl w:ilvl="5" w:tplc="340A001B" w:tentative="1">
      <w:start w:val="1"/>
      <w:numFmt w:val="lowerRoman"/>
      <w:lvlText w:val="%6."/>
      <w:lvlJc w:val="right"/>
      <w:pPr>
        <w:ind w:left="4318" w:hanging="180"/>
      </w:pPr>
    </w:lvl>
    <w:lvl w:ilvl="6" w:tplc="340A000F" w:tentative="1">
      <w:start w:val="1"/>
      <w:numFmt w:val="decimal"/>
      <w:lvlText w:val="%7."/>
      <w:lvlJc w:val="left"/>
      <w:pPr>
        <w:ind w:left="5038" w:hanging="360"/>
      </w:pPr>
    </w:lvl>
    <w:lvl w:ilvl="7" w:tplc="340A0019" w:tentative="1">
      <w:start w:val="1"/>
      <w:numFmt w:val="lowerLetter"/>
      <w:lvlText w:val="%8."/>
      <w:lvlJc w:val="left"/>
      <w:pPr>
        <w:ind w:left="5758" w:hanging="360"/>
      </w:pPr>
    </w:lvl>
    <w:lvl w:ilvl="8" w:tplc="340A001B" w:tentative="1">
      <w:start w:val="1"/>
      <w:numFmt w:val="lowerRoman"/>
      <w:lvlText w:val="%9."/>
      <w:lvlJc w:val="right"/>
      <w:pPr>
        <w:ind w:left="6478" w:hanging="180"/>
      </w:pPr>
    </w:lvl>
  </w:abstractNum>
  <w:abstractNum w:abstractNumId="20" w15:restartNumberingAfterBreak="0">
    <w:nsid w:val="3DB924EA"/>
    <w:multiLevelType w:val="hybridMultilevel"/>
    <w:tmpl w:val="AE76677E"/>
    <w:lvl w:ilvl="0" w:tplc="7214F4C4">
      <w:start w:val="1"/>
      <w:numFmt w:val="lowerLetter"/>
      <w:lvlText w:val="%1)"/>
      <w:lvlJc w:val="left"/>
      <w:pPr>
        <w:ind w:left="1301" w:hanging="540"/>
      </w:pPr>
      <w:rPr>
        <w:rFonts w:hint="default"/>
      </w:r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1" w15:restartNumberingAfterBreak="0">
    <w:nsid w:val="3DD96C44"/>
    <w:multiLevelType w:val="hybridMultilevel"/>
    <w:tmpl w:val="81A40506"/>
    <w:lvl w:ilvl="0" w:tplc="3BB6155A">
      <w:start w:val="6"/>
      <w:numFmt w:val="decimal"/>
      <w:lvlText w:val="%1."/>
      <w:lvlJc w:val="left"/>
      <w:pPr>
        <w:ind w:left="62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FE03AF9"/>
    <w:multiLevelType w:val="hybridMultilevel"/>
    <w:tmpl w:val="80C47116"/>
    <w:lvl w:ilvl="0" w:tplc="BDC6F494">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0CA4F15"/>
    <w:multiLevelType w:val="hybridMultilevel"/>
    <w:tmpl w:val="F334A8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2E22BCF"/>
    <w:multiLevelType w:val="hybridMultilevel"/>
    <w:tmpl w:val="D6645DB8"/>
    <w:lvl w:ilvl="0" w:tplc="340A000F">
      <w:start w:val="1"/>
      <w:numFmt w:val="decimal"/>
      <w:lvlText w:val="%1."/>
      <w:lvlJc w:val="left"/>
      <w:pPr>
        <w:ind w:left="2136" w:hanging="360"/>
      </w:pPr>
      <w:rPr>
        <w:rFonts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5" w15:restartNumberingAfterBreak="0">
    <w:nsid w:val="436F4764"/>
    <w:multiLevelType w:val="hybridMultilevel"/>
    <w:tmpl w:val="19902792"/>
    <w:lvl w:ilvl="0" w:tplc="BC92C74E">
      <w:start w:val="2"/>
      <w:numFmt w:val="decimal"/>
      <w:lvlText w:val="%1."/>
      <w:lvlJc w:val="left"/>
      <w:pPr>
        <w:ind w:left="62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7153454"/>
    <w:multiLevelType w:val="multilevel"/>
    <w:tmpl w:val="6DA24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7B64723"/>
    <w:multiLevelType w:val="hybridMultilevel"/>
    <w:tmpl w:val="D6645DB8"/>
    <w:lvl w:ilvl="0" w:tplc="340A000F">
      <w:start w:val="1"/>
      <w:numFmt w:val="decimal"/>
      <w:lvlText w:val="%1."/>
      <w:lvlJc w:val="left"/>
      <w:pPr>
        <w:ind w:left="2136" w:hanging="360"/>
      </w:pPr>
      <w:rPr>
        <w:rFonts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8" w15:restartNumberingAfterBreak="0">
    <w:nsid w:val="517D6A07"/>
    <w:multiLevelType w:val="hybridMultilevel"/>
    <w:tmpl w:val="99B425FE"/>
    <w:lvl w:ilvl="0" w:tplc="340A000F">
      <w:start w:val="1"/>
      <w:numFmt w:val="decimal"/>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29" w15:restartNumberingAfterBreak="0">
    <w:nsid w:val="53B22901"/>
    <w:multiLevelType w:val="hybridMultilevel"/>
    <w:tmpl w:val="810403C2"/>
    <w:lvl w:ilvl="0" w:tplc="5590EA6A">
      <w:start w:val="8"/>
      <w:numFmt w:val="decimal"/>
      <w:lvlText w:val="%1."/>
      <w:lvlJc w:val="left"/>
      <w:pPr>
        <w:ind w:left="62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5735A45"/>
    <w:multiLevelType w:val="hybridMultilevel"/>
    <w:tmpl w:val="D6645DB8"/>
    <w:lvl w:ilvl="0" w:tplc="340A000F">
      <w:start w:val="1"/>
      <w:numFmt w:val="decimal"/>
      <w:lvlText w:val="%1."/>
      <w:lvlJc w:val="left"/>
      <w:pPr>
        <w:ind w:left="2136" w:hanging="360"/>
      </w:pPr>
      <w:rPr>
        <w:rFonts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31" w15:restartNumberingAfterBreak="0">
    <w:nsid w:val="5AFE0305"/>
    <w:multiLevelType w:val="hybridMultilevel"/>
    <w:tmpl w:val="D6645DB8"/>
    <w:lvl w:ilvl="0" w:tplc="340A000F">
      <w:start w:val="1"/>
      <w:numFmt w:val="decimal"/>
      <w:lvlText w:val="%1."/>
      <w:lvlJc w:val="left"/>
      <w:pPr>
        <w:ind w:left="2136" w:hanging="360"/>
      </w:pPr>
      <w:rPr>
        <w:rFonts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32" w15:restartNumberingAfterBreak="0">
    <w:nsid w:val="5C2B2AEC"/>
    <w:multiLevelType w:val="hybridMultilevel"/>
    <w:tmpl w:val="EDC2CDB8"/>
    <w:lvl w:ilvl="0" w:tplc="B2923280">
      <w:start w:val="1"/>
      <w:numFmt w:val="decimal"/>
      <w:lvlText w:val="%1."/>
      <w:lvlJc w:val="left"/>
      <w:pPr>
        <w:ind w:left="1778" w:hanging="360"/>
      </w:pPr>
      <w:rPr>
        <w:rFonts w:ascii="Verdana" w:hAnsi="Verdana" w:hint="default"/>
        <w:sz w:val="20"/>
        <w:szCs w:val="20"/>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33" w15:restartNumberingAfterBreak="0">
    <w:nsid w:val="63004CF2"/>
    <w:multiLevelType w:val="hybridMultilevel"/>
    <w:tmpl w:val="5F4A1FF6"/>
    <w:lvl w:ilvl="0" w:tplc="741025D2">
      <w:start w:val="1"/>
      <w:numFmt w:val="decimal"/>
      <w:lvlText w:val="%1."/>
      <w:lvlJc w:val="left"/>
      <w:pPr>
        <w:ind w:left="625" w:hanging="360"/>
      </w:pPr>
      <w:rPr>
        <w:rFonts w:hint="default"/>
      </w:rPr>
    </w:lvl>
    <w:lvl w:ilvl="1" w:tplc="340A0019" w:tentative="1">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34" w15:restartNumberingAfterBreak="0">
    <w:nsid w:val="66DF3E5C"/>
    <w:multiLevelType w:val="hybridMultilevel"/>
    <w:tmpl w:val="CB84166C"/>
    <w:lvl w:ilvl="0" w:tplc="89C239F4">
      <w:start w:val="1"/>
      <w:numFmt w:val="lowerLetter"/>
      <w:lvlText w:val="%1)"/>
      <w:lvlJc w:val="left"/>
      <w:pPr>
        <w:ind w:left="823" w:hanging="360"/>
      </w:pPr>
      <w:rPr>
        <w:rFonts w:hint="default"/>
      </w:rPr>
    </w:lvl>
    <w:lvl w:ilvl="1" w:tplc="340A0019" w:tentative="1">
      <w:start w:val="1"/>
      <w:numFmt w:val="lowerLetter"/>
      <w:lvlText w:val="%2."/>
      <w:lvlJc w:val="left"/>
      <w:pPr>
        <w:ind w:left="1543" w:hanging="360"/>
      </w:pPr>
    </w:lvl>
    <w:lvl w:ilvl="2" w:tplc="340A001B" w:tentative="1">
      <w:start w:val="1"/>
      <w:numFmt w:val="lowerRoman"/>
      <w:lvlText w:val="%3."/>
      <w:lvlJc w:val="right"/>
      <w:pPr>
        <w:ind w:left="2263" w:hanging="180"/>
      </w:pPr>
    </w:lvl>
    <w:lvl w:ilvl="3" w:tplc="340A000F" w:tentative="1">
      <w:start w:val="1"/>
      <w:numFmt w:val="decimal"/>
      <w:lvlText w:val="%4."/>
      <w:lvlJc w:val="left"/>
      <w:pPr>
        <w:ind w:left="2983" w:hanging="360"/>
      </w:pPr>
    </w:lvl>
    <w:lvl w:ilvl="4" w:tplc="340A0019" w:tentative="1">
      <w:start w:val="1"/>
      <w:numFmt w:val="lowerLetter"/>
      <w:lvlText w:val="%5."/>
      <w:lvlJc w:val="left"/>
      <w:pPr>
        <w:ind w:left="3703" w:hanging="360"/>
      </w:pPr>
    </w:lvl>
    <w:lvl w:ilvl="5" w:tplc="340A001B" w:tentative="1">
      <w:start w:val="1"/>
      <w:numFmt w:val="lowerRoman"/>
      <w:lvlText w:val="%6."/>
      <w:lvlJc w:val="right"/>
      <w:pPr>
        <w:ind w:left="4423" w:hanging="180"/>
      </w:pPr>
    </w:lvl>
    <w:lvl w:ilvl="6" w:tplc="340A000F" w:tentative="1">
      <w:start w:val="1"/>
      <w:numFmt w:val="decimal"/>
      <w:lvlText w:val="%7."/>
      <w:lvlJc w:val="left"/>
      <w:pPr>
        <w:ind w:left="5143" w:hanging="360"/>
      </w:pPr>
    </w:lvl>
    <w:lvl w:ilvl="7" w:tplc="340A0019" w:tentative="1">
      <w:start w:val="1"/>
      <w:numFmt w:val="lowerLetter"/>
      <w:lvlText w:val="%8."/>
      <w:lvlJc w:val="left"/>
      <w:pPr>
        <w:ind w:left="5863" w:hanging="360"/>
      </w:pPr>
    </w:lvl>
    <w:lvl w:ilvl="8" w:tplc="340A001B" w:tentative="1">
      <w:start w:val="1"/>
      <w:numFmt w:val="lowerRoman"/>
      <w:lvlText w:val="%9."/>
      <w:lvlJc w:val="right"/>
      <w:pPr>
        <w:ind w:left="6583" w:hanging="180"/>
      </w:pPr>
    </w:lvl>
  </w:abstractNum>
  <w:abstractNum w:abstractNumId="35" w15:restartNumberingAfterBreak="0">
    <w:nsid w:val="69D5558B"/>
    <w:multiLevelType w:val="hybridMultilevel"/>
    <w:tmpl w:val="AC8AC83A"/>
    <w:lvl w:ilvl="0" w:tplc="7EC486EC">
      <w:start w:val="1"/>
      <w:numFmt w:val="lowerLetter"/>
      <w:lvlText w:val="%1)"/>
      <w:lvlJc w:val="left"/>
      <w:pPr>
        <w:ind w:left="640" w:hanging="375"/>
      </w:pPr>
      <w:rPr>
        <w:rFonts w:hint="default"/>
      </w:rPr>
    </w:lvl>
    <w:lvl w:ilvl="1" w:tplc="340A0019" w:tentative="1">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36" w15:restartNumberingAfterBreak="0">
    <w:nsid w:val="6C111377"/>
    <w:multiLevelType w:val="hybridMultilevel"/>
    <w:tmpl w:val="F334A8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18F3C6A"/>
    <w:multiLevelType w:val="hybridMultilevel"/>
    <w:tmpl w:val="2F7AE20E"/>
    <w:lvl w:ilvl="0" w:tplc="A8C07F04">
      <w:start w:val="3"/>
      <w:numFmt w:val="lowerLetter"/>
      <w:lvlText w:val="%1)"/>
      <w:lvlJc w:val="left"/>
      <w:pPr>
        <w:ind w:left="1121" w:hanging="360"/>
      </w:pPr>
      <w:rPr>
        <w:rFonts w:hint="default"/>
      </w:r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38" w15:restartNumberingAfterBreak="0">
    <w:nsid w:val="7AB36E23"/>
    <w:multiLevelType w:val="hybridMultilevel"/>
    <w:tmpl w:val="1F6CB3E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001249"/>
    <w:multiLevelType w:val="hybridMultilevel"/>
    <w:tmpl w:val="6574A4FC"/>
    <w:lvl w:ilvl="0" w:tplc="1044428A">
      <w:start w:val="5"/>
      <w:numFmt w:val="decimal"/>
      <w:lvlText w:val="%1."/>
      <w:lvlJc w:val="left"/>
      <w:pPr>
        <w:ind w:left="62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0C5982"/>
    <w:multiLevelType w:val="hybridMultilevel"/>
    <w:tmpl w:val="1C507228"/>
    <w:lvl w:ilvl="0" w:tplc="C2C2063E">
      <w:start w:val="3"/>
      <w:numFmt w:val="decimal"/>
      <w:lvlText w:val="%1."/>
      <w:lvlJc w:val="left"/>
      <w:pPr>
        <w:ind w:left="62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11"/>
  </w:num>
  <w:num w:numId="3">
    <w:abstractNumId w:val="33"/>
  </w:num>
  <w:num w:numId="4">
    <w:abstractNumId w:val="6"/>
  </w:num>
  <w:num w:numId="5">
    <w:abstractNumId w:val="35"/>
  </w:num>
  <w:num w:numId="6">
    <w:abstractNumId w:val="25"/>
  </w:num>
  <w:num w:numId="7">
    <w:abstractNumId w:val="3"/>
  </w:num>
  <w:num w:numId="8">
    <w:abstractNumId w:val="40"/>
  </w:num>
  <w:num w:numId="9">
    <w:abstractNumId w:val="8"/>
  </w:num>
  <w:num w:numId="10">
    <w:abstractNumId w:val="39"/>
  </w:num>
  <w:num w:numId="11">
    <w:abstractNumId w:val="14"/>
  </w:num>
  <w:num w:numId="12">
    <w:abstractNumId w:val="21"/>
  </w:num>
  <w:num w:numId="13">
    <w:abstractNumId w:val="9"/>
  </w:num>
  <w:num w:numId="14">
    <w:abstractNumId w:val="29"/>
  </w:num>
  <w:num w:numId="15">
    <w:abstractNumId w:val="5"/>
  </w:num>
  <w:num w:numId="16">
    <w:abstractNumId w:val="10"/>
  </w:num>
  <w:num w:numId="17">
    <w:abstractNumId w:val="20"/>
  </w:num>
  <w:num w:numId="18">
    <w:abstractNumId w:val="2"/>
  </w:num>
  <w:num w:numId="19">
    <w:abstractNumId w:val="37"/>
  </w:num>
  <w:num w:numId="20">
    <w:abstractNumId w:val="36"/>
  </w:num>
  <w:num w:numId="21">
    <w:abstractNumId w:val="38"/>
  </w:num>
  <w:num w:numId="22">
    <w:abstractNumId w:val="23"/>
  </w:num>
  <w:num w:numId="23">
    <w:abstractNumId w:val="19"/>
  </w:num>
  <w:num w:numId="24">
    <w:abstractNumId w:val="17"/>
  </w:num>
  <w:num w:numId="25">
    <w:abstractNumId w:val="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2"/>
  </w:num>
  <w:num w:numId="29">
    <w:abstractNumId w:val="3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2"/>
  </w:num>
  <w:num w:numId="33">
    <w:abstractNumId w:val="31"/>
  </w:num>
  <w:num w:numId="34">
    <w:abstractNumId w:val="15"/>
  </w:num>
  <w:num w:numId="35">
    <w:abstractNumId w:val="0"/>
  </w:num>
  <w:num w:numId="36">
    <w:abstractNumId w:val="28"/>
  </w:num>
  <w:num w:numId="37">
    <w:abstractNumId w:val="30"/>
  </w:num>
  <w:num w:numId="38">
    <w:abstractNumId w:val="27"/>
  </w:num>
  <w:num w:numId="39">
    <w:abstractNumId w:val="12"/>
  </w:num>
  <w:num w:numId="40">
    <w:abstractNumId w:val="1"/>
  </w:num>
  <w:num w:numId="41">
    <w:abstractNumId w:val="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3C"/>
    <w:rsid w:val="00000C9E"/>
    <w:rsid w:val="00002252"/>
    <w:rsid w:val="0000554C"/>
    <w:rsid w:val="000073D7"/>
    <w:rsid w:val="00007CAD"/>
    <w:rsid w:val="000127B5"/>
    <w:rsid w:val="0001659A"/>
    <w:rsid w:val="00020030"/>
    <w:rsid w:val="000200AA"/>
    <w:rsid w:val="00020EF2"/>
    <w:rsid w:val="000259E4"/>
    <w:rsid w:val="00031D48"/>
    <w:rsid w:val="00034A44"/>
    <w:rsid w:val="00053599"/>
    <w:rsid w:val="0005509A"/>
    <w:rsid w:val="00061151"/>
    <w:rsid w:val="000623B5"/>
    <w:rsid w:val="00063187"/>
    <w:rsid w:val="000648D4"/>
    <w:rsid w:val="00065641"/>
    <w:rsid w:val="00065C6E"/>
    <w:rsid w:val="00072A54"/>
    <w:rsid w:val="00074AAD"/>
    <w:rsid w:val="00075790"/>
    <w:rsid w:val="00075B16"/>
    <w:rsid w:val="00077D43"/>
    <w:rsid w:val="000859B6"/>
    <w:rsid w:val="00086B0E"/>
    <w:rsid w:val="000955A8"/>
    <w:rsid w:val="000A0309"/>
    <w:rsid w:val="000A221B"/>
    <w:rsid w:val="000A2CDA"/>
    <w:rsid w:val="000A34FC"/>
    <w:rsid w:val="000A5E15"/>
    <w:rsid w:val="000B7C30"/>
    <w:rsid w:val="000C0B4B"/>
    <w:rsid w:val="000C13D1"/>
    <w:rsid w:val="000C5A55"/>
    <w:rsid w:val="000C7043"/>
    <w:rsid w:val="000D32A7"/>
    <w:rsid w:val="000E0263"/>
    <w:rsid w:val="000F0C86"/>
    <w:rsid w:val="000F3E43"/>
    <w:rsid w:val="000F5BD2"/>
    <w:rsid w:val="00101BE0"/>
    <w:rsid w:val="00103234"/>
    <w:rsid w:val="00105F42"/>
    <w:rsid w:val="00111DE6"/>
    <w:rsid w:val="00116E70"/>
    <w:rsid w:val="001271A1"/>
    <w:rsid w:val="001353C3"/>
    <w:rsid w:val="0013561C"/>
    <w:rsid w:val="001368BB"/>
    <w:rsid w:val="00151C0E"/>
    <w:rsid w:val="0015740D"/>
    <w:rsid w:val="001600CF"/>
    <w:rsid w:val="001604E7"/>
    <w:rsid w:val="001776AE"/>
    <w:rsid w:val="00177DE5"/>
    <w:rsid w:val="0018126D"/>
    <w:rsid w:val="00185426"/>
    <w:rsid w:val="001865C4"/>
    <w:rsid w:val="001968C3"/>
    <w:rsid w:val="00196C0F"/>
    <w:rsid w:val="0019718E"/>
    <w:rsid w:val="001A2DB6"/>
    <w:rsid w:val="001A3BAD"/>
    <w:rsid w:val="001A5CFA"/>
    <w:rsid w:val="001A6E6B"/>
    <w:rsid w:val="001B6E70"/>
    <w:rsid w:val="001B7031"/>
    <w:rsid w:val="001C1BFD"/>
    <w:rsid w:val="001C2216"/>
    <w:rsid w:val="001C325B"/>
    <w:rsid w:val="001E4818"/>
    <w:rsid w:val="001E59CB"/>
    <w:rsid w:val="001E6810"/>
    <w:rsid w:val="001F6994"/>
    <w:rsid w:val="001F6A9D"/>
    <w:rsid w:val="001F6DB2"/>
    <w:rsid w:val="001F713A"/>
    <w:rsid w:val="001F731D"/>
    <w:rsid w:val="001F7383"/>
    <w:rsid w:val="0020013C"/>
    <w:rsid w:val="0021266D"/>
    <w:rsid w:val="00212822"/>
    <w:rsid w:val="00216BDD"/>
    <w:rsid w:val="00221199"/>
    <w:rsid w:val="00223A7D"/>
    <w:rsid w:val="00225949"/>
    <w:rsid w:val="002268DC"/>
    <w:rsid w:val="00226DF6"/>
    <w:rsid w:val="00230555"/>
    <w:rsid w:val="00235086"/>
    <w:rsid w:val="00242C0A"/>
    <w:rsid w:val="002460EA"/>
    <w:rsid w:val="0024680C"/>
    <w:rsid w:val="002523D0"/>
    <w:rsid w:val="0025381B"/>
    <w:rsid w:val="0026102F"/>
    <w:rsid w:val="00263BE7"/>
    <w:rsid w:val="0026527A"/>
    <w:rsid w:val="0026660E"/>
    <w:rsid w:val="0027179E"/>
    <w:rsid w:val="00282A2D"/>
    <w:rsid w:val="00286C8D"/>
    <w:rsid w:val="00290FBC"/>
    <w:rsid w:val="00292C20"/>
    <w:rsid w:val="002A0575"/>
    <w:rsid w:val="002C2498"/>
    <w:rsid w:val="002C67C5"/>
    <w:rsid w:val="002D1C76"/>
    <w:rsid w:val="002D432E"/>
    <w:rsid w:val="002D52D9"/>
    <w:rsid w:val="002E0431"/>
    <w:rsid w:val="002E256D"/>
    <w:rsid w:val="002E2647"/>
    <w:rsid w:val="002E2BFA"/>
    <w:rsid w:val="002E3F48"/>
    <w:rsid w:val="002E5D2A"/>
    <w:rsid w:val="00300191"/>
    <w:rsid w:val="003069A9"/>
    <w:rsid w:val="00307E30"/>
    <w:rsid w:val="0031068C"/>
    <w:rsid w:val="003114B2"/>
    <w:rsid w:val="0031395D"/>
    <w:rsid w:val="00320B8D"/>
    <w:rsid w:val="00320D4A"/>
    <w:rsid w:val="00340A61"/>
    <w:rsid w:val="0034458F"/>
    <w:rsid w:val="00346D63"/>
    <w:rsid w:val="00351CAC"/>
    <w:rsid w:val="0035233B"/>
    <w:rsid w:val="003527BA"/>
    <w:rsid w:val="00352975"/>
    <w:rsid w:val="00354C58"/>
    <w:rsid w:val="00360A07"/>
    <w:rsid w:val="00361F75"/>
    <w:rsid w:val="00364BA1"/>
    <w:rsid w:val="00367A46"/>
    <w:rsid w:val="003721A5"/>
    <w:rsid w:val="00391F1C"/>
    <w:rsid w:val="003938C4"/>
    <w:rsid w:val="00394ADD"/>
    <w:rsid w:val="003A0C2E"/>
    <w:rsid w:val="003A2E50"/>
    <w:rsid w:val="003A50EF"/>
    <w:rsid w:val="003B6001"/>
    <w:rsid w:val="003B646F"/>
    <w:rsid w:val="003D0282"/>
    <w:rsid w:val="003D7254"/>
    <w:rsid w:val="003E0642"/>
    <w:rsid w:val="003E0C21"/>
    <w:rsid w:val="003F6D62"/>
    <w:rsid w:val="00407FAE"/>
    <w:rsid w:val="00430054"/>
    <w:rsid w:val="004306E6"/>
    <w:rsid w:val="0043200C"/>
    <w:rsid w:val="004377CF"/>
    <w:rsid w:val="0044329D"/>
    <w:rsid w:val="00445763"/>
    <w:rsid w:val="00450270"/>
    <w:rsid w:val="0045357F"/>
    <w:rsid w:val="00463496"/>
    <w:rsid w:val="00464C68"/>
    <w:rsid w:val="00466E40"/>
    <w:rsid w:val="00471F07"/>
    <w:rsid w:val="0047307E"/>
    <w:rsid w:val="00477CF4"/>
    <w:rsid w:val="00480034"/>
    <w:rsid w:val="00485EA7"/>
    <w:rsid w:val="00486ADD"/>
    <w:rsid w:val="004949B8"/>
    <w:rsid w:val="00496B21"/>
    <w:rsid w:val="004A1D24"/>
    <w:rsid w:val="004B2C5B"/>
    <w:rsid w:val="004B620C"/>
    <w:rsid w:val="004B644C"/>
    <w:rsid w:val="004B6DC5"/>
    <w:rsid w:val="004C0297"/>
    <w:rsid w:val="004C4E80"/>
    <w:rsid w:val="004E020A"/>
    <w:rsid w:val="004E04FE"/>
    <w:rsid w:val="004F0A99"/>
    <w:rsid w:val="004F21C4"/>
    <w:rsid w:val="00502109"/>
    <w:rsid w:val="00503CBE"/>
    <w:rsid w:val="005109F8"/>
    <w:rsid w:val="00515356"/>
    <w:rsid w:val="00515B18"/>
    <w:rsid w:val="0051793B"/>
    <w:rsid w:val="00520043"/>
    <w:rsid w:val="00520E00"/>
    <w:rsid w:val="00527462"/>
    <w:rsid w:val="005314C2"/>
    <w:rsid w:val="0053640E"/>
    <w:rsid w:val="00536FF3"/>
    <w:rsid w:val="00544985"/>
    <w:rsid w:val="00545130"/>
    <w:rsid w:val="005464C3"/>
    <w:rsid w:val="005468FC"/>
    <w:rsid w:val="00557E3F"/>
    <w:rsid w:val="005709FE"/>
    <w:rsid w:val="00570EA9"/>
    <w:rsid w:val="0057240D"/>
    <w:rsid w:val="005726B1"/>
    <w:rsid w:val="00576F10"/>
    <w:rsid w:val="00581BA2"/>
    <w:rsid w:val="00587BB1"/>
    <w:rsid w:val="00594F79"/>
    <w:rsid w:val="00597B25"/>
    <w:rsid w:val="005A45D0"/>
    <w:rsid w:val="005B065C"/>
    <w:rsid w:val="005B17A4"/>
    <w:rsid w:val="005B6C0F"/>
    <w:rsid w:val="005B77A6"/>
    <w:rsid w:val="005C1DEC"/>
    <w:rsid w:val="005C2EAB"/>
    <w:rsid w:val="005C62D4"/>
    <w:rsid w:val="005D4E00"/>
    <w:rsid w:val="005E0C0B"/>
    <w:rsid w:val="005F5442"/>
    <w:rsid w:val="005F55AF"/>
    <w:rsid w:val="00602193"/>
    <w:rsid w:val="00602701"/>
    <w:rsid w:val="00610664"/>
    <w:rsid w:val="006123C2"/>
    <w:rsid w:val="00613C42"/>
    <w:rsid w:val="006170E0"/>
    <w:rsid w:val="00617224"/>
    <w:rsid w:val="00617F82"/>
    <w:rsid w:val="00624016"/>
    <w:rsid w:val="006249EB"/>
    <w:rsid w:val="00633EF9"/>
    <w:rsid w:val="00641434"/>
    <w:rsid w:val="006433EE"/>
    <w:rsid w:val="00644504"/>
    <w:rsid w:val="00645244"/>
    <w:rsid w:val="0065414D"/>
    <w:rsid w:val="0067155E"/>
    <w:rsid w:val="00672D63"/>
    <w:rsid w:val="00673402"/>
    <w:rsid w:val="006737C4"/>
    <w:rsid w:val="0068462D"/>
    <w:rsid w:val="00685EAE"/>
    <w:rsid w:val="0069076A"/>
    <w:rsid w:val="00696D77"/>
    <w:rsid w:val="0069752D"/>
    <w:rsid w:val="006A3357"/>
    <w:rsid w:val="006A4172"/>
    <w:rsid w:val="006A7709"/>
    <w:rsid w:val="006A7A3E"/>
    <w:rsid w:val="006B61E0"/>
    <w:rsid w:val="006B7FE7"/>
    <w:rsid w:val="006C7199"/>
    <w:rsid w:val="006C73A6"/>
    <w:rsid w:val="006C7CE3"/>
    <w:rsid w:val="006D08C2"/>
    <w:rsid w:val="006D32C1"/>
    <w:rsid w:val="006D55AC"/>
    <w:rsid w:val="006E19F8"/>
    <w:rsid w:val="006F0D07"/>
    <w:rsid w:val="006F12BE"/>
    <w:rsid w:val="006F1C0E"/>
    <w:rsid w:val="006F20DC"/>
    <w:rsid w:val="006F2393"/>
    <w:rsid w:val="006F3CBC"/>
    <w:rsid w:val="007069AB"/>
    <w:rsid w:val="00715885"/>
    <w:rsid w:val="00716B48"/>
    <w:rsid w:val="0071716D"/>
    <w:rsid w:val="00717471"/>
    <w:rsid w:val="00732EC4"/>
    <w:rsid w:val="00735C89"/>
    <w:rsid w:val="00745A9E"/>
    <w:rsid w:val="007477FB"/>
    <w:rsid w:val="00755881"/>
    <w:rsid w:val="00761901"/>
    <w:rsid w:val="00763472"/>
    <w:rsid w:val="007714D5"/>
    <w:rsid w:val="00777D0B"/>
    <w:rsid w:val="007809F3"/>
    <w:rsid w:val="00786A29"/>
    <w:rsid w:val="00790250"/>
    <w:rsid w:val="007902D6"/>
    <w:rsid w:val="00790EB3"/>
    <w:rsid w:val="007A184A"/>
    <w:rsid w:val="007A4A16"/>
    <w:rsid w:val="007B1D61"/>
    <w:rsid w:val="007B29A1"/>
    <w:rsid w:val="007B694A"/>
    <w:rsid w:val="007B6C4B"/>
    <w:rsid w:val="007C26AE"/>
    <w:rsid w:val="007C7658"/>
    <w:rsid w:val="007C7692"/>
    <w:rsid w:val="007D02BD"/>
    <w:rsid w:val="007D08D3"/>
    <w:rsid w:val="007D1DF2"/>
    <w:rsid w:val="007D23F7"/>
    <w:rsid w:val="007D320D"/>
    <w:rsid w:val="007D72D0"/>
    <w:rsid w:val="007F2930"/>
    <w:rsid w:val="008034F9"/>
    <w:rsid w:val="00810B57"/>
    <w:rsid w:val="00817923"/>
    <w:rsid w:val="00822D16"/>
    <w:rsid w:val="00825149"/>
    <w:rsid w:val="00842FBC"/>
    <w:rsid w:val="00850229"/>
    <w:rsid w:val="00856D5C"/>
    <w:rsid w:val="00857555"/>
    <w:rsid w:val="008643FC"/>
    <w:rsid w:val="00870132"/>
    <w:rsid w:val="008806F2"/>
    <w:rsid w:val="008808D8"/>
    <w:rsid w:val="00880C33"/>
    <w:rsid w:val="008830D8"/>
    <w:rsid w:val="00883233"/>
    <w:rsid w:val="00885A05"/>
    <w:rsid w:val="00887784"/>
    <w:rsid w:val="00891076"/>
    <w:rsid w:val="00892330"/>
    <w:rsid w:val="008926CD"/>
    <w:rsid w:val="00894EF8"/>
    <w:rsid w:val="008A5510"/>
    <w:rsid w:val="008B0471"/>
    <w:rsid w:val="008B1C50"/>
    <w:rsid w:val="008B2B0F"/>
    <w:rsid w:val="008B50F1"/>
    <w:rsid w:val="008C20B7"/>
    <w:rsid w:val="008C4F82"/>
    <w:rsid w:val="008C535B"/>
    <w:rsid w:val="008D3E2F"/>
    <w:rsid w:val="008D6E77"/>
    <w:rsid w:val="008E2CE1"/>
    <w:rsid w:val="008E61E7"/>
    <w:rsid w:val="008F15C3"/>
    <w:rsid w:val="008F28F3"/>
    <w:rsid w:val="008F557E"/>
    <w:rsid w:val="00901D1B"/>
    <w:rsid w:val="0090228A"/>
    <w:rsid w:val="00903FCD"/>
    <w:rsid w:val="0090483C"/>
    <w:rsid w:val="00907AB9"/>
    <w:rsid w:val="009117B8"/>
    <w:rsid w:val="00924502"/>
    <w:rsid w:val="00926E65"/>
    <w:rsid w:val="00930F50"/>
    <w:rsid w:val="00934399"/>
    <w:rsid w:val="0093727B"/>
    <w:rsid w:val="00940450"/>
    <w:rsid w:val="00940D32"/>
    <w:rsid w:val="009412DD"/>
    <w:rsid w:val="00944D81"/>
    <w:rsid w:val="009519A1"/>
    <w:rsid w:val="00955B03"/>
    <w:rsid w:val="0095602D"/>
    <w:rsid w:val="00965BDE"/>
    <w:rsid w:val="00965FD5"/>
    <w:rsid w:val="00970EB6"/>
    <w:rsid w:val="009716B8"/>
    <w:rsid w:val="00974C0F"/>
    <w:rsid w:val="00974C4D"/>
    <w:rsid w:val="009759F3"/>
    <w:rsid w:val="0097605B"/>
    <w:rsid w:val="00981520"/>
    <w:rsid w:val="00985385"/>
    <w:rsid w:val="009857B5"/>
    <w:rsid w:val="009A79B8"/>
    <w:rsid w:val="009B1517"/>
    <w:rsid w:val="009B1C19"/>
    <w:rsid w:val="009B76C0"/>
    <w:rsid w:val="009C3F23"/>
    <w:rsid w:val="009C518F"/>
    <w:rsid w:val="009C5230"/>
    <w:rsid w:val="009E2EF3"/>
    <w:rsid w:val="009E3A40"/>
    <w:rsid w:val="009E6411"/>
    <w:rsid w:val="009F3B91"/>
    <w:rsid w:val="009F708D"/>
    <w:rsid w:val="00A135FA"/>
    <w:rsid w:val="00A179E9"/>
    <w:rsid w:val="00A213E3"/>
    <w:rsid w:val="00A3035F"/>
    <w:rsid w:val="00A339E9"/>
    <w:rsid w:val="00A3549E"/>
    <w:rsid w:val="00A3785D"/>
    <w:rsid w:val="00A37DB3"/>
    <w:rsid w:val="00A55D84"/>
    <w:rsid w:val="00A56E8D"/>
    <w:rsid w:val="00A60EE4"/>
    <w:rsid w:val="00A67D74"/>
    <w:rsid w:val="00A70CCF"/>
    <w:rsid w:val="00A71F89"/>
    <w:rsid w:val="00A75A03"/>
    <w:rsid w:val="00A75F1C"/>
    <w:rsid w:val="00A76AE9"/>
    <w:rsid w:val="00A9105A"/>
    <w:rsid w:val="00A97674"/>
    <w:rsid w:val="00A97D3F"/>
    <w:rsid w:val="00AA1C22"/>
    <w:rsid w:val="00AA328A"/>
    <w:rsid w:val="00AA3A8A"/>
    <w:rsid w:val="00AA530A"/>
    <w:rsid w:val="00AB20D6"/>
    <w:rsid w:val="00AB2F08"/>
    <w:rsid w:val="00AC4020"/>
    <w:rsid w:val="00AC4F73"/>
    <w:rsid w:val="00AC7AA6"/>
    <w:rsid w:val="00AD139B"/>
    <w:rsid w:val="00AD5C71"/>
    <w:rsid w:val="00AE0027"/>
    <w:rsid w:val="00AE1783"/>
    <w:rsid w:val="00AE1CE0"/>
    <w:rsid w:val="00AE5B93"/>
    <w:rsid w:val="00AE5E75"/>
    <w:rsid w:val="00AF0CED"/>
    <w:rsid w:val="00AF349B"/>
    <w:rsid w:val="00AF430D"/>
    <w:rsid w:val="00B00474"/>
    <w:rsid w:val="00B03BF2"/>
    <w:rsid w:val="00B04059"/>
    <w:rsid w:val="00B0605C"/>
    <w:rsid w:val="00B07E1D"/>
    <w:rsid w:val="00B15C05"/>
    <w:rsid w:val="00B15DDD"/>
    <w:rsid w:val="00B165AB"/>
    <w:rsid w:val="00B23426"/>
    <w:rsid w:val="00B43187"/>
    <w:rsid w:val="00B46BDA"/>
    <w:rsid w:val="00B52728"/>
    <w:rsid w:val="00B56E7E"/>
    <w:rsid w:val="00B60BED"/>
    <w:rsid w:val="00B625C8"/>
    <w:rsid w:val="00B77C46"/>
    <w:rsid w:val="00B8096F"/>
    <w:rsid w:val="00B84FBD"/>
    <w:rsid w:val="00B90952"/>
    <w:rsid w:val="00B91913"/>
    <w:rsid w:val="00BA1CA1"/>
    <w:rsid w:val="00BA306D"/>
    <w:rsid w:val="00BA5CCD"/>
    <w:rsid w:val="00BA6306"/>
    <w:rsid w:val="00BB0672"/>
    <w:rsid w:val="00BB4B5C"/>
    <w:rsid w:val="00BB6BB9"/>
    <w:rsid w:val="00BC3A51"/>
    <w:rsid w:val="00BC599E"/>
    <w:rsid w:val="00BC7113"/>
    <w:rsid w:val="00BD4830"/>
    <w:rsid w:val="00BD7AEA"/>
    <w:rsid w:val="00BE29A2"/>
    <w:rsid w:val="00C00CB9"/>
    <w:rsid w:val="00C01370"/>
    <w:rsid w:val="00C11A35"/>
    <w:rsid w:val="00C14E82"/>
    <w:rsid w:val="00C27EF7"/>
    <w:rsid w:val="00C31513"/>
    <w:rsid w:val="00C36753"/>
    <w:rsid w:val="00C42457"/>
    <w:rsid w:val="00C47445"/>
    <w:rsid w:val="00C558D9"/>
    <w:rsid w:val="00C56C1D"/>
    <w:rsid w:val="00C602E2"/>
    <w:rsid w:val="00C615A3"/>
    <w:rsid w:val="00C64EB0"/>
    <w:rsid w:val="00C70FD9"/>
    <w:rsid w:val="00C74F56"/>
    <w:rsid w:val="00C811ED"/>
    <w:rsid w:val="00C858BC"/>
    <w:rsid w:val="00C9039F"/>
    <w:rsid w:val="00C9042C"/>
    <w:rsid w:val="00C96494"/>
    <w:rsid w:val="00CA0472"/>
    <w:rsid w:val="00CA0902"/>
    <w:rsid w:val="00CA1763"/>
    <w:rsid w:val="00CA1BB9"/>
    <w:rsid w:val="00CA2B3E"/>
    <w:rsid w:val="00CA41C5"/>
    <w:rsid w:val="00CB266C"/>
    <w:rsid w:val="00CB4186"/>
    <w:rsid w:val="00CD0BC8"/>
    <w:rsid w:val="00CD4C35"/>
    <w:rsid w:val="00CD5436"/>
    <w:rsid w:val="00CE36F7"/>
    <w:rsid w:val="00CF39F5"/>
    <w:rsid w:val="00CF7023"/>
    <w:rsid w:val="00D05E1E"/>
    <w:rsid w:val="00D06D6A"/>
    <w:rsid w:val="00D151F0"/>
    <w:rsid w:val="00D2120C"/>
    <w:rsid w:val="00D27D75"/>
    <w:rsid w:val="00D3078D"/>
    <w:rsid w:val="00D3509B"/>
    <w:rsid w:val="00D35A83"/>
    <w:rsid w:val="00D41B71"/>
    <w:rsid w:val="00D5224E"/>
    <w:rsid w:val="00D5368A"/>
    <w:rsid w:val="00D538CE"/>
    <w:rsid w:val="00D61583"/>
    <w:rsid w:val="00D71964"/>
    <w:rsid w:val="00D76BF5"/>
    <w:rsid w:val="00D810CA"/>
    <w:rsid w:val="00D8353D"/>
    <w:rsid w:val="00DA7787"/>
    <w:rsid w:val="00DB22AB"/>
    <w:rsid w:val="00DB4CF9"/>
    <w:rsid w:val="00DC0226"/>
    <w:rsid w:val="00DC4195"/>
    <w:rsid w:val="00DE2C4B"/>
    <w:rsid w:val="00DE6F7D"/>
    <w:rsid w:val="00DF0594"/>
    <w:rsid w:val="00DF152A"/>
    <w:rsid w:val="00DF4E37"/>
    <w:rsid w:val="00DF75F6"/>
    <w:rsid w:val="00E033BA"/>
    <w:rsid w:val="00E034F7"/>
    <w:rsid w:val="00E06196"/>
    <w:rsid w:val="00E068B0"/>
    <w:rsid w:val="00E27C88"/>
    <w:rsid w:val="00E35A27"/>
    <w:rsid w:val="00E45C0E"/>
    <w:rsid w:val="00E45EF1"/>
    <w:rsid w:val="00E600D5"/>
    <w:rsid w:val="00E76E4E"/>
    <w:rsid w:val="00E813F0"/>
    <w:rsid w:val="00E859FE"/>
    <w:rsid w:val="00E934A6"/>
    <w:rsid w:val="00E946D7"/>
    <w:rsid w:val="00E94E02"/>
    <w:rsid w:val="00E976DC"/>
    <w:rsid w:val="00EB01D9"/>
    <w:rsid w:val="00EB11C2"/>
    <w:rsid w:val="00EB3AF4"/>
    <w:rsid w:val="00EB3E4B"/>
    <w:rsid w:val="00EB4C9A"/>
    <w:rsid w:val="00EC0AB7"/>
    <w:rsid w:val="00EC2D67"/>
    <w:rsid w:val="00EC418C"/>
    <w:rsid w:val="00EC4E50"/>
    <w:rsid w:val="00EC78C7"/>
    <w:rsid w:val="00EC7E5A"/>
    <w:rsid w:val="00ED1156"/>
    <w:rsid w:val="00ED1461"/>
    <w:rsid w:val="00EF2D89"/>
    <w:rsid w:val="00EF4784"/>
    <w:rsid w:val="00EF6E9E"/>
    <w:rsid w:val="00EF7204"/>
    <w:rsid w:val="00F00A03"/>
    <w:rsid w:val="00F0470A"/>
    <w:rsid w:val="00F05340"/>
    <w:rsid w:val="00F07A0B"/>
    <w:rsid w:val="00F17776"/>
    <w:rsid w:val="00F221C6"/>
    <w:rsid w:val="00F26C80"/>
    <w:rsid w:val="00F272B6"/>
    <w:rsid w:val="00F31166"/>
    <w:rsid w:val="00F3542D"/>
    <w:rsid w:val="00F3579A"/>
    <w:rsid w:val="00F470B0"/>
    <w:rsid w:val="00F52B1F"/>
    <w:rsid w:val="00F52BA7"/>
    <w:rsid w:val="00F5536A"/>
    <w:rsid w:val="00F66D10"/>
    <w:rsid w:val="00F7004A"/>
    <w:rsid w:val="00F702F1"/>
    <w:rsid w:val="00F76800"/>
    <w:rsid w:val="00F76B9D"/>
    <w:rsid w:val="00F77002"/>
    <w:rsid w:val="00F77AD1"/>
    <w:rsid w:val="00F85282"/>
    <w:rsid w:val="00F9044B"/>
    <w:rsid w:val="00F957A8"/>
    <w:rsid w:val="00F96D87"/>
    <w:rsid w:val="00FA7410"/>
    <w:rsid w:val="00FB199E"/>
    <w:rsid w:val="00FB228B"/>
    <w:rsid w:val="00FB438F"/>
    <w:rsid w:val="00FB6DAB"/>
    <w:rsid w:val="00FC2EB3"/>
    <w:rsid w:val="00FC5941"/>
    <w:rsid w:val="00FC63D2"/>
    <w:rsid w:val="00FC6DF0"/>
    <w:rsid w:val="00FD06ED"/>
    <w:rsid w:val="00FD08EB"/>
    <w:rsid w:val="00FE55A5"/>
    <w:rsid w:val="00FE5BEA"/>
    <w:rsid w:val="00FF1DC4"/>
    <w:rsid w:val="00FF2AEF"/>
    <w:rsid w:val="00FF32AD"/>
    <w:rsid w:val="00FF5BA1"/>
    <w:rsid w:val="00FF64F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068B7D"/>
  <w15:docId w15:val="{44E45A2D-CB44-4E34-9879-E03216F5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6AE"/>
  </w:style>
  <w:style w:type="paragraph" w:styleId="Ttulo9">
    <w:name w:val="heading 9"/>
    <w:basedOn w:val="Normal"/>
    <w:next w:val="Normal"/>
    <w:link w:val="Ttulo9Car"/>
    <w:qFormat/>
    <w:rsid w:val="00061151"/>
    <w:pPr>
      <w:keepNext/>
      <w:tabs>
        <w:tab w:val="left" w:pos="-720"/>
        <w:tab w:val="left" w:pos="567"/>
      </w:tabs>
      <w:suppressAutoHyphens/>
      <w:overflowPunct w:val="0"/>
      <w:autoSpaceDE w:val="0"/>
      <w:autoSpaceDN w:val="0"/>
      <w:adjustRightInd w:val="0"/>
      <w:spacing w:before="90" w:after="54" w:line="240" w:lineRule="auto"/>
      <w:textAlignment w:val="baseline"/>
      <w:outlineLvl w:val="8"/>
    </w:pPr>
    <w:rPr>
      <w:rFonts w:ascii="Arial" w:eastAsia="Times New Roman" w:hAnsi="Arial" w:cs="Times New Roman"/>
      <w:b/>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13C"/>
  </w:style>
  <w:style w:type="table" w:styleId="Tablaconcuadrcula">
    <w:name w:val="Table Grid"/>
    <w:basedOn w:val="Tablanormal"/>
    <w:uiPriority w:val="39"/>
    <w:rsid w:val="0020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0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13C"/>
  </w:style>
  <w:style w:type="character" w:styleId="Refdecomentario">
    <w:name w:val="annotation reference"/>
    <w:basedOn w:val="Fuentedeprrafopredeter"/>
    <w:unhideWhenUsed/>
    <w:rsid w:val="00221199"/>
    <w:rPr>
      <w:sz w:val="16"/>
      <w:szCs w:val="16"/>
    </w:rPr>
  </w:style>
  <w:style w:type="paragraph" w:styleId="Textocomentario">
    <w:name w:val="annotation text"/>
    <w:basedOn w:val="Normal"/>
    <w:link w:val="TextocomentarioCar"/>
    <w:uiPriority w:val="99"/>
    <w:unhideWhenUsed/>
    <w:rsid w:val="00221199"/>
    <w:pPr>
      <w:spacing w:line="240" w:lineRule="auto"/>
    </w:pPr>
    <w:rPr>
      <w:sz w:val="20"/>
      <w:szCs w:val="20"/>
    </w:rPr>
  </w:style>
  <w:style w:type="character" w:customStyle="1" w:styleId="TextocomentarioCar">
    <w:name w:val="Texto comentario Car"/>
    <w:basedOn w:val="Fuentedeprrafopredeter"/>
    <w:link w:val="Textocomentario"/>
    <w:uiPriority w:val="99"/>
    <w:rsid w:val="00221199"/>
    <w:rPr>
      <w:sz w:val="20"/>
      <w:szCs w:val="20"/>
    </w:rPr>
  </w:style>
  <w:style w:type="paragraph" w:styleId="Asuntodelcomentario">
    <w:name w:val="annotation subject"/>
    <w:basedOn w:val="Textocomentario"/>
    <w:next w:val="Textocomentario"/>
    <w:link w:val="AsuntodelcomentarioCar"/>
    <w:uiPriority w:val="99"/>
    <w:semiHidden/>
    <w:unhideWhenUsed/>
    <w:rsid w:val="00221199"/>
    <w:rPr>
      <w:b/>
      <w:bCs/>
    </w:rPr>
  </w:style>
  <w:style w:type="character" w:customStyle="1" w:styleId="AsuntodelcomentarioCar">
    <w:name w:val="Asunto del comentario Car"/>
    <w:basedOn w:val="TextocomentarioCar"/>
    <w:link w:val="Asuntodelcomentario"/>
    <w:uiPriority w:val="99"/>
    <w:semiHidden/>
    <w:rsid w:val="00221199"/>
    <w:rPr>
      <w:b/>
      <w:bCs/>
      <w:sz w:val="20"/>
      <w:szCs w:val="20"/>
    </w:rPr>
  </w:style>
  <w:style w:type="paragraph" w:styleId="Textodeglobo">
    <w:name w:val="Balloon Text"/>
    <w:basedOn w:val="Normal"/>
    <w:link w:val="TextodegloboCar"/>
    <w:uiPriority w:val="99"/>
    <w:semiHidden/>
    <w:unhideWhenUsed/>
    <w:rsid w:val="002211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199"/>
    <w:rPr>
      <w:rFonts w:ascii="Segoe UI" w:hAnsi="Segoe UI" w:cs="Segoe UI"/>
      <w:sz w:val="18"/>
      <w:szCs w:val="18"/>
    </w:rPr>
  </w:style>
  <w:style w:type="paragraph" w:styleId="Prrafodelista">
    <w:name w:val="List Paragraph"/>
    <w:basedOn w:val="Normal"/>
    <w:uiPriority w:val="34"/>
    <w:qFormat/>
    <w:rsid w:val="003F6D62"/>
    <w:pPr>
      <w:ind w:left="720"/>
      <w:contextualSpacing/>
    </w:pPr>
  </w:style>
  <w:style w:type="character" w:customStyle="1" w:styleId="Ttulo9Car">
    <w:name w:val="Título 9 Car"/>
    <w:basedOn w:val="Fuentedeprrafopredeter"/>
    <w:link w:val="Ttulo9"/>
    <w:rsid w:val="00061151"/>
    <w:rPr>
      <w:rFonts w:ascii="Arial" w:eastAsia="Times New Roman" w:hAnsi="Arial" w:cs="Times New Roman"/>
      <w:b/>
      <w:spacing w:val="-2"/>
      <w:sz w:val="20"/>
      <w:szCs w:val="20"/>
      <w:lang w:eastAsia="es-ES"/>
    </w:rPr>
  </w:style>
  <w:style w:type="paragraph" w:customStyle="1" w:styleId="Default">
    <w:name w:val="Default"/>
    <w:rsid w:val="00F0534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65F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D5"/>
    <w:rPr>
      <w:sz w:val="20"/>
      <w:szCs w:val="20"/>
    </w:rPr>
  </w:style>
  <w:style w:type="character" w:styleId="Refdenotaalpie">
    <w:name w:val="footnote reference"/>
    <w:basedOn w:val="Fuentedeprrafopredeter"/>
    <w:uiPriority w:val="99"/>
    <w:semiHidden/>
    <w:unhideWhenUsed/>
    <w:rsid w:val="00965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65540">
      <w:bodyDiv w:val="1"/>
      <w:marLeft w:val="0"/>
      <w:marRight w:val="0"/>
      <w:marTop w:val="0"/>
      <w:marBottom w:val="0"/>
      <w:divBdr>
        <w:top w:val="none" w:sz="0" w:space="0" w:color="auto"/>
        <w:left w:val="none" w:sz="0" w:space="0" w:color="auto"/>
        <w:bottom w:val="none" w:sz="0" w:space="0" w:color="auto"/>
        <w:right w:val="none" w:sz="0" w:space="0" w:color="auto"/>
      </w:divBdr>
    </w:div>
    <w:div w:id="684942675">
      <w:bodyDiv w:val="1"/>
      <w:marLeft w:val="0"/>
      <w:marRight w:val="0"/>
      <w:marTop w:val="0"/>
      <w:marBottom w:val="0"/>
      <w:divBdr>
        <w:top w:val="none" w:sz="0" w:space="0" w:color="auto"/>
        <w:left w:val="none" w:sz="0" w:space="0" w:color="auto"/>
        <w:bottom w:val="none" w:sz="0" w:space="0" w:color="auto"/>
        <w:right w:val="none" w:sz="0" w:space="0" w:color="auto"/>
      </w:divBdr>
    </w:div>
    <w:div w:id="1015839357">
      <w:bodyDiv w:val="1"/>
      <w:marLeft w:val="0"/>
      <w:marRight w:val="0"/>
      <w:marTop w:val="0"/>
      <w:marBottom w:val="0"/>
      <w:divBdr>
        <w:top w:val="none" w:sz="0" w:space="0" w:color="auto"/>
        <w:left w:val="none" w:sz="0" w:space="0" w:color="auto"/>
        <w:bottom w:val="none" w:sz="0" w:space="0" w:color="auto"/>
        <w:right w:val="none" w:sz="0" w:space="0" w:color="auto"/>
      </w:divBdr>
    </w:div>
    <w:div w:id="1064177897">
      <w:bodyDiv w:val="1"/>
      <w:marLeft w:val="0"/>
      <w:marRight w:val="0"/>
      <w:marTop w:val="0"/>
      <w:marBottom w:val="0"/>
      <w:divBdr>
        <w:top w:val="none" w:sz="0" w:space="0" w:color="auto"/>
        <w:left w:val="none" w:sz="0" w:space="0" w:color="auto"/>
        <w:bottom w:val="none" w:sz="0" w:space="0" w:color="auto"/>
        <w:right w:val="none" w:sz="0" w:space="0" w:color="auto"/>
      </w:divBdr>
    </w:div>
    <w:div w:id="116012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7C700-4BC6-4CD6-8B48-E2169C76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3183</Words>
  <Characters>17511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Alcaíno Vargas</dc:creator>
  <cp:lastModifiedBy>DDU/RLP</cp:lastModifiedBy>
  <cp:revision>4</cp:revision>
  <cp:lastPrinted>2021-05-13T17:12:00Z</cp:lastPrinted>
  <dcterms:created xsi:type="dcterms:W3CDTF">2022-09-22T22:10:00Z</dcterms:created>
  <dcterms:modified xsi:type="dcterms:W3CDTF">2022-09-22T22:16:00Z</dcterms:modified>
</cp:coreProperties>
</file>