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4332"/>
        <w:gridCol w:w="4452"/>
        <w:gridCol w:w="4212"/>
      </w:tblGrid>
      <w:tr w:rsidR="00ED0CBF" w:rsidRPr="00FB655B" w14:paraId="343B5687" w14:textId="77777777" w:rsidTr="00ED0CBF">
        <w:trPr>
          <w:trHeight w:val="845"/>
        </w:trPr>
        <w:tc>
          <w:tcPr>
            <w:tcW w:w="12996" w:type="dxa"/>
            <w:gridSpan w:val="3"/>
            <w:shd w:val="clear" w:color="auto" w:fill="BDD6EE" w:themeFill="accent1" w:themeFillTint="66"/>
          </w:tcPr>
          <w:p w14:paraId="7DE82E5A" w14:textId="396E3579" w:rsidR="00ED0CBF" w:rsidRPr="00324029" w:rsidRDefault="00ED0CBF" w:rsidP="00ED0CBF">
            <w:pPr>
              <w:jc w:val="center"/>
              <w:rPr>
                <w:rFonts w:cstheme="minorHAnsi"/>
                <w:b/>
                <w:color w:val="0000FF"/>
                <w:sz w:val="28"/>
                <w:szCs w:val="28"/>
              </w:rPr>
            </w:pPr>
            <w:r w:rsidRPr="00324029">
              <w:rPr>
                <w:rFonts w:cstheme="minorHAnsi"/>
                <w:b/>
                <w:color w:val="0000FF"/>
                <w:sz w:val="28"/>
                <w:szCs w:val="28"/>
              </w:rPr>
              <w:t>COMPARADO</w:t>
            </w:r>
          </w:p>
          <w:p w14:paraId="4F473FC9" w14:textId="2DFDD631" w:rsidR="00ED0CBF" w:rsidRPr="00FB655B" w:rsidRDefault="00ED0CBF" w:rsidP="00ED0CBF">
            <w:pPr>
              <w:jc w:val="center"/>
              <w:rPr>
                <w:rFonts w:cstheme="minorHAnsi"/>
                <w:b/>
                <w:color w:val="0000FF"/>
                <w:sz w:val="18"/>
                <w:szCs w:val="18"/>
              </w:rPr>
            </w:pPr>
            <w:r w:rsidRPr="00324029">
              <w:rPr>
                <w:rFonts w:cstheme="minorHAnsi"/>
                <w:b/>
                <w:color w:val="0000FF"/>
                <w:sz w:val="18"/>
                <w:szCs w:val="18"/>
              </w:rPr>
              <w:t xml:space="preserve">Cambios propuestos </w:t>
            </w:r>
            <w:r w:rsidR="00E5645C" w:rsidRPr="00324029">
              <w:rPr>
                <w:rFonts w:cstheme="minorHAnsi"/>
                <w:b/>
                <w:color w:val="0000FF"/>
                <w:sz w:val="18"/>
                <w:szCs w:val="18"/>
              </w:rPr>
              <w:t>a</w:t>
            </w:r>
            <w:r w:rsidRPr="00324029">
              <w:rPr>
                <w:rFonts w:cstheme="minorHAnsi"/>
                <w:b/>
                <w:color w:val="0000FF"/>
                <w:sz w:val="18"/>
                <w:szCs w:val="18"/>
              </w:rPr>
              <w:t xml:space="preserve"> la Ordenanza General de Urbanismo y Construcciones, en materia de </w:t>
            </w:r>
            <w:r w:rsidR="00E5645C" w:rsidRPr="00324029">
              <w:rPr>
                <w:rFonts w:cstheme="minorHAnsi"/>
                <w:b/>
                <w:color w:val="0000FF"/>
                <w:sz w:val="18"/>
                <w:szCs w:val="18"/>
              </w:rPr>
              <w:t>divisiones de predios rústicos según el DL 3.516 y de subdivisiones, urbanizaciones y edificaciones en área rural conforme al artículo 55 de la Ley General de Urbanismo y Construcciones</w:t>
            </w:r>
            <w:r w:rsidRPr="00324029">
              <w:rPr>
                <w:rFonts w:cstheme="minorHAnsi"/>
                <w:b/>
                <w:color w:val="0000FF"/>
                <w:sz w:val="18"/>
                <w:szCs w:val="18"/>
              </w:rPr>
              <w:t>.</w:t>
            </w:r>
          </w:p>
          <w:p w14:paraId="7B66DD0E" w14:textId="77777777" w:rsidR="00ED0CBF" w:rsidRPr="00FB655B" w:rsidRDefault="00ED0CBF">
            <w:pPr>
              <w:rPr>
                <w:rFonts w:cstheme="minorHAnsi"/>
                <w:b/>
                <w:sz w:val="18"/>
                <w:szCs w:val="18"/>
              </w:rPr>
            </w:pPr>
          </w:p>
        </w:tc>
      </w:tr>
      <w:tr w:rsidR="008C019A" w:rsidRPr="00FB655B" w14:paraId="7D8FDE95" w14:textId="77777777" w:rsidTr="00675D3D">
        <w:tc>
          <w:tcPr>
            <w:tcW w:w="4332" w:type="dxa"/>
            <w:shd w:val="clear" w:color="auto" w:fill="BDD6EE" w:themeFill="accent1" w:themeFillTint="66"/>
          </w:tcPr>
          <w:p w14:paraId="63733702" w14:textId="77777777" w:rsidR="008C019A" w:rsidRPr="00FB655B" w:rsidRDefault="000168F5" w:rsidP="00ED0CBF">
            <w:pPr>
              <w:jc w:val="center"/>
              <w:rPr>
                <w:rFonts w:cstheme="minorHAnsi"/>
                <w:b/>
                <w:sz w:val="18"/>
                <w:szCs w:val="18"/>
              </w:rPr>
            </w:pPr>
            <w:r w:rsidRPr="00FB655B">
              <w:rPr>
                <w:rFonts w:cstheme="minorHAnsi"/>
                <w:b/>
                <w:sz w:val="18"/>
                <w:szCs w:val="18"/>
              </w:rPr>
              <w:t>Norma Vigente</w:t>
            </w:r>
          </w:p>
        </w:tc>
        <w:tc>
          <w:tcPr>
            <w:tcW w:w="4452" w:type="dxa"/>
            <w:shd w:val="clear" w:color="auto" w:fill="BDD6EE" w:themeFill="accent1" w:themeFillTint="66"/>
          </w:tcPr>
          <w:p w14:paraId="561229E2" w14:textId="77777777" w:rsidR="008C019A" w:rsidRPr="00FB655B" w:rsidRDefault="000168F5" w:rsidP="00ED0CBF">
            <w:pPr>
              <w:jc w:val="center"/>
              <w:rPr>
                <w:rFonts w:cstheme="minorHAnsi"/>
                <w:b/>
                <w:sz w:val="18"/>
                <w:szCs w:val="18"/>
              </w:rPr>
            </w:pPr>
            <w:r w:rsidRPr="00FB655B">
              <w:rPr>
                <w:rFonts w:cstheme="minorHAnsi"/>
                <w:b/>
                <w:sz w:val="18"/>
                <w:szCs w:val="18"/>
              </w:rPr>
              <w:t>Norma Propuesta</w:t>
            </w:r>
          </w:p>
        </w:tc>
        <w:tc>
          <w:tcPr>
            <w:tcW w:w="4212" w:type="dxa"/>
            <w:shd w:val="clear" w:color="auto" w:fill="BDD6EE" w:themeFill="accent1" w:themeFillTint="66"/>
          </w:tcPr>
          <w:p w14:paraId="11DD9AFF" w14:textId="77777777" w:rsidR="008C019A" w:rsidRPr="00FB655B" w:rsidRDefault="00ED0CBF" w:rsidP="00ED0CBF">
            <w:pPr>
              <w:jc w:val="center"/>
              <w:rPr>
                <w:rFonts w:cstheme="minorHAnsi"/>
                <w:b/>
                <w:sz w:val="18"/>
                <w:szCs w:val="18"/>
              </w:rPr>
            </w:pPr>
            <w:r w:rsidRPr="00FB655B">
              <w:rPr>
                <w:rFonts w:cstheme="minorHAnsi"/>
                <w:b/>
                <w:sz w:val="18"/>
                <w:szCs w:val="18"/>
              </w:rPr>
              <w:t>Co</w:t>
            </w:r>
            <w:r w:rsidR="000168F5" w:rsidRPr="00FB655B">
              <w:rPr>
                <w:rFonts w:cstheme="minorHAnsi"/>
                <w:b/>
                <w:sz w:val="18"/>
                <w:szCs w:val="18"/>
              </w:rPr>
              <w:t>mentarios</w:t>
            </w:r>
          </w:p>
        </w:tc>
      </w:tr>
      <w:tr w:rsidR="008C019A" w:rsidRPr="00FB655B" w14:paraId="2D15B38C" w14:textId="77777777" w:rsidTr="00675D3D">
        <w:tc>
          <w:tcPr>
            <w:tcW w:w="4332" w:type="dxa"/>
          </w:tcPr>
          <w:p w14:paraId="135AF1F1" w14:textId="77777777" w:rsidR="008C019A" w:rsidRPr="00FB655B" w:rsidRDefault="008C019A" w:rsidP="008C019A">
            <w:pPr>
              <w:autoSpaceDE w:val="0"/>
              <w:autoSpaceDN w:val="0"/>
              <w:adjustRightInd w:val="0"/>
              <w:jc w:val="both"/>
              <w:rPr>
                <w:rFonts w:cstheme="minorHAnsi"/>
                <w:sz w:val="18"/>
                <w:szCs w:val="18"/>
              </w:rPr>
            </w:pPr>
            <w:r w:rsidRPr="00FB655B">
              <w:rPr>
                <w:rFonts w:cstheme="minorHAnsi"/>
                <w:b/>
                <w:bCs/>
                <w:sz w:val="18"/>
                <w:szCs w:val="18"/>
              </w:rPr>
              <w:t xml:space="preserve">Artículo 2.1.19. </w:t>
            </w:r>
            <w:r w:rsidRPr="00FB655B">
              <w:rPr>
                <w:rFonts w:cstheme="minorHAnsi"/>
                <w:sz w:val="18"/>
                <w:szCs w:val="18"/>
              </w:rPr>
              <w:t xml:space="preserve">La división de predios rústicos que se realice de acuerdo al D.L. Nº3.516, de 1980, y las subdivisiones, urbanizaciones y edificaciones que autoriza el artículo 55 de la Ley General de Urbanismo y Construcciones, se someterán a las siguientes reglas, según sea el caso: </w:t>
            </w:r>
          </w:p>
          <w:p w14:paraId="23006F1D" w14:textId="77777777" w:rsidR="008C019A" w:rsidRPr="00FB655B" w:rsidRDefault="008C019A">
            <w:pPr>
              <w:rPr>
                <w:rFonts w:cstheme="minorHAnsi"/>
                <w:sz w:val="18"/>
                <w:szCs w:val="18"/>
              </w:rPr>
            </w:pPr>
          </w:p>
        </w:tc>
        <w:tc>
          <w:tcPr>
            <w:tcW w:w="4452" w:type="dxa"/>
          </w:tcPr>
          <w:p w14:paraId="62B366BA" w14:textId="77777777" w:rsidR="008C019A" w:rsidRPr="00FB655B" w:rsidRDefault="008C019A" w:rsidP="008C019A">
            <w:pPr>
              <w:autoSpaceDE w:val="0"/>
              <w:autoSpaceDN w:val="0"/>
              <w:adjustRightInd w:val="0"/>
              <w:jc w:val="both"/>
              <w:rPr>
                <w:rFonts w:cstheme="minorHAnsi"/>
                <w:sz w:val="18"/>
                <w:szCs w:val="18"/>
              </w:rPr>
            </w:pPr>
            <w:r w:rsidRPr="00FB655B">
              <w:rPr>
                <w:rFonts w:cstheme="minorHAnsi"/>
                <w:b/>
                <w:bCs/>
                <w:sz w:val="18"/>
                <w:szCs w:val="18"/>
              </w:rPr>
              <w:t xml:space="preserve">Artículo 2.1.19. </w:t>
            </w:r>
            <w:r w:rsidRPr="00FB655B">
              <w:rPr>
                <w:rFonts w:cstheme="minorHAnsi"/>
                <w:sz w:val="18"/>
                <w:szCs w:val="18"/>
              </w:rPr>
              <w:t xml:space="preserve">La división de predios rústicos que se realice de acuerdo al D.L. Nº3.516, de 1980, y las subdivisiones, urbanizaciones y edificaciones que autoriza el artículo 55 de la Ley General de Urbanismo y Construcciones, se someterán a las siguientes reglas, según sea el caso: </w:t>
            </w:r>
          </w:p>
          <w:p w14:paraId="1778DA72" w14:textId="77777777" w:rsidR="008C019A" w:rsidRPr="00FB655B" w:rsidRDefault="008C019A">
            <w:pPr>
              <w:rPr>
                <w:rFonts w:cstheme="minorHAnsi"/>
                <w:sz w:val="18"/>
                <w:szCs w:val="18"/>
              </w:rPr>
            </w:pPr>
          </w:p>
        </w:tc>
        <w:tc>
          <w:tcPr>
            <w:tcW w:w="4212" w:type="dxa"/>
          </w:tcPr>
          <w:p w14:paraId="1260F7F9" w14:textId="77777777" w:rsidR="008C019A" w:rsidRPr="00FB655B" w:rsidRDefault="008C019A">
            <w:pPr>
              <w:rPr>
                <w:rFonts w:cstheme="minorHAnsi"/>
                <w:sz w:val="18"/>
                <w:szCs w:val="18"/>
              </w:rPr>
            </w:pPr>
          </w:p>
        </w:tc>
      </w:tr>
      <w:tr w:rsidR="008C019A" w:rsidRPr="00FB655B" w14:paraId="6FDBAB70" w14:textId="77777777" w:rsidTr="002815BC">
        <w:tc>
          <w:tcPr>
            <w:tcW w:w="4332" w:type="dxa"/>
          </w:tcPr>
          <w:p w14:paraId="3495BC28" w14:textId="77777777" w:rsidR="008C019A" w:rsidRPr="00FB655B" w:rsidRDefault="008C019A" w:rsidP="008C019A">
            <w:pPr>
              <w:pStyle w:val="Prrafodelista"/>
              <w:numPr>
                <w:ilvl w:val="0"/>
                <w:numId w:val="1"/>
              </w:numPr>
              <w:ind w:left="306" w:hanging="284"/>
              <w:jc w:val="both"/>
              <w:rPr>
                <w:rFonts w:cstheme="minorHAnsi"/>
                <w:sz w:val="18"/>
                <w:szCs w:val="18"/>
              </w:rPr>
            </w:pPr>
            <w:r w:rsidRPr="00FB655B">
              <w:rPr>
                <w:rFonts w:cstheme="minorHAnsi"/>
                <w:sz w:val="18"/>
                <w:szCs w:val="18"/>
              </w:rPr>
              <w:t>Según el D.L. N° 3.516, de 1980, los predios rústicos, esto es, los inmuebles de aptitud agrícola, ganadera o forestal ubicados fuera de los límites urbanos o fuera de los límites de los planes reguladores intercomunales de Santiago, Valparaíso y Concepción, podrán ser divididos libremente por sus propietarios en lotes cuya superficie sea igual o superior a 0,5 hectárea física. Estas divisiones, conforme al artículo 46 de la ley N°18.755, requieren certificación del Servicio Agrícola y Ganadero, respecto al cumplimiento de la normativa vigente en la materia, sin que sea exigible autorización de la Dirección de Obras Municipales. No obstante lo anterior, el interesado deberá remitir copia del plano de subdivisión y de la certificación del Servicio Agrícola y Ganadero, a la Dirección de Obras Municipales para su incorporación al catastro a que se refiere la letra d) del artículo 24 de la Ley 18.695, Orgánica Constitucional de Municipalidades, en su texto refundido fijado por D.F.L. N° 1-19.704, del Ministerio del Interior, de 2001.</w:t>
            </w:r>
          </w:p>
        </w:tc>
        <w:tc>
          <w:tcPr>
            <w:tcW w:w="4452" w:type="dxa"/>
          </w:tcPr>
          <w:p w14:paraId="0F4BE71C" w14:textId="77777777" w:rsidR="00137DF6" w:rsidRPr="00137DF6" w:rsidRDefault="008C019A" w:rsidP="000564FB">
            <w:pPr>
              <w:pStyle w:val="Prrafodelista"/>
              <w:numPr>
                <w:ilvl w:val="0"/>
                <w:numId w:val="2"/>
              </w:numPr>
              <w:ind w:left="373" w:hanging="373"/>
              <w:jc w:val="both"/>
              <w:rPr>
                <w:rFonts w:cstheme="minorHAnsi"/>
                <w:sz w:val="18"/>
                <w:szCs w:val="18"/>
              </w:rPr>
            </w:pPr>
            <w:r w:rsidRPr="00FB655B">
              <w:rPr>
                <w:rFonts w:cstheme="minorHAnsi"/>
                <w:sz w:val="18"/>
                <w:szCs w:val="18"/>
              </w:rPr>
              <w:t>Según el D.L. N° 3.516, de 1980, los predios rústicos, esto es, los inmuebles de aptitud agrícola, ganadera o forestal ubicados fuera de los límites urbanos o fuera de los límites de los planes reguladores intercomunales de Santiago, Valparaíso y Concepción, podrán ser divididos libremente por sus propietarios en lotes cuya superficie sea igual o superior a 0,5 hectárea física. Estas divisiones, conforme al artículo 46 de la ley N°18.755, requieren certificación del Servicio Agrícola y Ganadero, respecto al cumplimiento de la normativa vigente en la materia</w:t>
            </w:r>
            <w:r w:rsidR="00137DF6" w:rsidRPr="00D1617F">
              <w:rPr>
                <w:rFonts w:cstheme="minorHAnsi"/>
                <w:color w:val="FF0000"/>
                <w:sz w:val="18"/>
                <w:szCs w:val="18"/>
              </w:rPr>
              <w:t xml:space="preserve">, incluida la prohibición de cambiar su destino en los términos que establecen los artículos 55 y 56 de la Ley General de Urbanismo y Construcciones dentro de lo cual se deberá resguardar que no se infrinja lo dispuesto en el inciso segundo del artículo 55 de la Ley General de Urbanismo y Construcciones. Para estos efectos, el Servicio Agrícola y Ganadero deberá solicitar a la respectiva Secretaría Regional Ministerial de Vivienda y Urbanismo que informe sobre la materia, en aquellos casos en que pudiera haber transgresión a alguna de las disposiciones de los artículos 55 y 56 de la Ley General de Urbanismo y Construcciones. </w:t>
            </w:r>
          </w:p>
          <w:p w14:paraId="6DEDDDAF" w14:textId="77777777" w:rsidR="00137DF6" w:rsidRPr="00137DF6" w:rsidRDefault="00137DF6" w:rsidP="00137DF6">
            <w:pPr>
              <w:pStyle w:val="Prrafodelista"/>
              <w:jc w:val="both"/>
              <w:rPr>
                <w:rFonts w:cstheme="minorHAnsi"/>
                <w:sz w:val="18"/>
                <w:szCs w:val="18"/>
              </w:rPr>
            </w:pPr>
          </w:p>
          <w:p w14:paraId="6F600A25" w14:textId="27101644" w:rsidR="008C019A" w:rsidRPr="008A7711" w:rsidRDefault="00137DF6" w:rsidP="00137DF6">
            <w:pPr>
              <w:pStyle w:val="Prrafodelista"/>
              <w:ind w:left="384"/>
              <w:jc w:val="both"/>
              <w:rPr>
                <w:rFonts w:cstheme="minorHAnsi"/>
                <w:sz w:val="18"/>
                <w:szCs w:val="18"/>
              </w:rPr>
            </w:pPr>
            <w:r w:rsidRPr="00D1617F">
              <w:rPr>
                <w:rFonts w:cstheme="minorHAnsi"/>
                <w:color w:val="FF0000"/>
                <w:sz w:val="18"/>
                <w:szCs w:val="18"/>
              </w:rPr>
              <w:t>Esta división</w:t>
            </w:r>
            <w:r w:rsidR="008C019A" w:rsidRPr="00D1617F">
              <w:rPr>
                <w:rFonts w:cstheme="minorHAnsi"/>
                <w:color w:val="FF0000"/>
                <w:sz w:val="18"/>
                <w:szCs w:val="18"/>
              </w:rPr>
              <w:t xml:space="preserve"> </w:t>
            </w:r>
            <w:r w:rsidR="008C019A" w:rsidRPr="00D1617F">
              <w:rPr>
                <w:rFonts w:cstheme="minorHAnsi"/>
                <w:strike/>
                <w:color w:val="FF0000"/>
                <w:sz w:val="18"/>
                <w:szCs w:val="18"/>
              </w:rPr>
              <w:t>sin que sea</w:t>
            </w:r>
            <w:r w:rsidR="00870598" w:rsidRPr="00D1617F">
              <w:rPr>
                <w:rFonts w:cstheme="minorHAnsi"/>
                <w:color w:val="FF0000"/>
                <w:sz w:val="18"/>
                <w:szCs w:val="18"/>
              </w:rPr>
              <w:t xml:space="preserve"> </w:t>
            </w:r>
            <w:r w:rsidR="00870598" w:rsidRPr="00E5645C">
              <w:rPr>
                <w:rFonts w:cstheme="minorHAnsi"/>
                <w:sz w:val="18"/>
                <w:szCs w:val="18"/>
              </w:rPr>
              <w:t>no</w:t>
            </w:r>
            <w:r w:rsidR="008C019A" w:rsidRPr="00E5645C">
              <w:rPr>
                <w:rFonts w:cstheme="minorHAnsi"/>
                <w:sz w:val="18"/>
                <w:szCs w:val="18"/>
              </w:rPr>
              <w:t xml:space="preserve"> </w:t>
            </w:r>
            <w:r w:rsidR="008C019A" w:rsidRPr="00D1617F">
              <w:rPr>
                <w:rFonts w:cstheme="minorHAnsi"/>
                <w:strike/>
                <w:color w:val="FF0000"/>
                <w:sz w:val="18"/>
                <w:szCs w:val="18"/>
              </w:rPr>
              <w:t>exigible</w:t>
            </w:r>
            <w:r w:rsidR="00870598" w:rsidRPr="00D1617F">
              <w:rPr>
                <w:rFonts w:cstheme="minorHAnsi"/>
                <w:strike/>
                <w:color w:val="FF0000"/>
                <w:sz w:val="18"/>
                <w:szCs w:val="18"/>
              </w:rPr>
              <w:t xml:space="preserve"> </w:t>
            </w:r>
            <w:r w:rsidRPr="00D1617F">
              <w:rPr>
                <w:rFonts w:cstheme="minorHAnsi"/>
                <w:color w:val="FF0000"/>
                <w:sz w:val="18"/>
                <w:szCs w:val="18"/>
              </w:rPr>
              <w:t xml:space="preserve">requerirá la </w:t>
            </w:r>
            <w:r w:rsidR="008C019A" w:rsidRPr="008A7711">
              <w:rPr>
                <w:rFonts w:cstheme="minorHAnsi"/>
                <w:sz w:val="18"/>
                <w:szCs w:val="18"/>
              </w:rPr>
              <w:t>autorización de la Dirección de Obras Municipales</w:t>
            </w:r>
            <w:r>
              <w:rPr>
                <w:rFonts w:cstheme="minorHAnsi"/>
                <w:sz w:val="18"/>
                <w:szCs w:val="18"/>
              </w:rPr>
              <w:t xml:space="preserve">, </w:t>
            </w:r>
            <w:r w:rsidRPr="00D1617F">
              <w:rPr>
                <w:rFonts w:cstheme="minorHAnsi"/>
                <w:color w:val="FF0000"/>
                <w:sz w:val="18"/>
                <w:szCs w:val="18"/>
              </w:rPr>
              <w:lastRenderedPageBreak/>
              <w:t xml:space="preserve">no </w:t>
            </w:r>
            <w:r w:rsidR="008C019A" w:rsidRPr="008A7711">
              <w:rPr>
                <w:rFonts w:cstheme="minorHAnsi"/>
                <w:sz w:val="18"/>
                <w:szCs w:val="18"/>
              </w:rPr>
              <w:t xml:space="preserve">obstante lo anterior, el </w:t>
            </w:r>
            <w:r w:rsidR="008C019A" w:rsidRPr="00D1617F">
              <w:rPr>
                <w:rFonts w:cstheme="minorHAnsi"/>
                <w:strike/>
                <w:color w:val="FF0000"/>
                <w:sz w:val="18"/>
                <w:szCs w:val="18"/>
              </w:rPr>
              <w:t>interesado</w:t>
            </w:r>
            <w:r w:rsidR="00870598" w:rsidRPr="00D1617F">
              <w:rPr>
                <w:rFonts w:cstheme="minorHAnsi"/>
                <w:strike/>
                <w:color w:val="FF0000"/>
                <w:sz w:val="18"/>
                <w:szCs w:val="18"/>
              </w:rPr>
              <w:t xml:space="preserve"> </w:t>
            </w:r>
            <w:r w:rsidR="00E5645C" w:rsidRPr="00D1617F">
              <w:rPr>
                <w:rFonts w:cstheme="minorHAnsi"/>
                <w:color w:val="FF0000"/>
                <w:sz w:val="18"/>
                <w:szCs w:val="18"/>
              </w:rPr>
              <w:t>Servicio Agrícola y Ganadero, a través de su respectiva Dirección Regional</w:t>
            </w:r>
            <w:r w:rsidR="00E347D5" w:rsidRPr="008A7711">
              <w:rPr>
                <w:rFonts w:cstheme="minorHAnsi"/>
                <w:sz w:val="18"/>
                <w:szCs w:val="18"/>
              </w:rPr>
              <w:t>,</w:t>
            </w:r>
            <w:r w:rsidR="008C019A" w:rsidRPr="008A7711">
              <w:rPr>
                <w:rFonts w:cstheme="minorHAnsi"/>
                <w:sz w:val="18"/>
                <w:szCs w:val="18"/>
              </w:rPr>
              <w:t xml:space="preserve"> deberá remitir</w:t>
            </w:r>
            <w:r w:rsidR="00E5645C" w:rsidRPr="00D1617F">
              <w:rPr>
                <w:rFonts w:cstheme="minorHAnsi"/>
                <w:color w:val="FF0000"/>
                <w:sz w:val="18"/>
                <w:szCs w:val="18"/>
              </w:rPr>
              <w:t>le</w:t>
            </w:r>
            <w:r w:rsidR="008C019A" w:rsidRPr="008A7711">
              <w:rPr>
                <w:rFonts w:cstheme="minorHAnsi"/>
                <w:sz w:val="18"/>
                <w:szCs w:val="18"/>
              </w:rPr>
              <w:t xml:space="preserve"> copia del plano de subdivisión y de la certificación </w:t>
            </w:r>
            <w:r w:rsidR="008C019A" w:rsidRPr="00D1617F">
              <w:rPr>
                <w:rFonts w:cstheme="minorHAnsi"/>
                <w:strike/>
                <w:color w:val="FF0000"/>
                <w:sz w:val="18"/>
                <w:szCs w:val="18"/>
              </w:rPr>
              <w:t>del Servicio Agrícola y Ganadero, a la Dirección de Obras Municipales</w:t>
            </w:r>
            <w:r w:rsidR="008C019A" w:rsidRPr="00D1617F">
              <w:rPr>
                <w:rFonts w:cstheme="minorHAnsi"/>
                <w:color w:val="FF0000"/>
                <w:sz w:val="18"/>
                <w:szCs w:val="18"/>
              </w:rPr>
              <w:t xml:space="preserve"> </w:t>
            </w:r>
            <w:r w:rsidR="008C019A" w:rsidRPr="008A7711">
              <w:rPr>
                <w:rFonts w:cstheme="minorHAnsi"/>
                <w:sz w:val="18"/>
                <w:szCs w:val="18"/>
              </w:rPr>
              <w:t>para su incorporación al catastro a que se refiere la letra d) del artículo 24 de la Ley 18.695, Orgánica Constitucional de Municipalidades, en su texto refundido fijado por D.F.L. N° 1-19.704, del Ministerio del Interior, de 2001.</w:t>
            </w:r>
          </w:p>
          <w:p w14:paraId="52720F72" w14:textId="77777777" w:rsidR="002815BC" w:rsidRPr="00FB655B" w:rsidRDefault="002815BC" w:rsidP="002815BC">
            <w:pPr>
              <w:pStyle w:val="Prrafodelista"/>
              <w:ind w:left="381"/>
              <w:jc w:val="both"/>
              <w:rPr>
                <w:rFonts w:cstheme="minorHAnsi"/>
                <w:sz w:val="18"/>
                <w:szCs w:val="18"/>
              </w:rPr>
            </w:pPr>
          </w:p>
        </w:tc>
        <w:tc>
          <w:tcPr>
            <w:tcW w:w="4212" w:type="dxa"/>
          </w:tcPr>
          <w:p w14:paraId="4FEDC642" w14:textId="736AFB10" w:rsidR="002815BC" w:rsidRPr="00A93937" w:rsidRDefault="002815BC" w:rsidP="00FB655B">
            <w:pPr>
              <w:pStyle w:val="Prrafodelista"/>
              <w:ind w:left="178"/>
              <w:jc w:val="both"/>
              <w:rPr>
                <w:rFonts w:cstheme="minorHAnsi"/>
                <w:sz w:val="18"/>
                <w:szCs w:val="18"/>
              </w:rPr>
            </w:pPr>
          </w:p>
        </w:tc>
      </w:tr>
      <w:tr w:rsidR="008C019A" w:rsidRPr="00FB655B" w14:paraId="3042833D" w14:textId="77777777" w:rsidTr="00675D3D">
        <w:tc>
          <w:tcPr>
            <w:tcW w:w="4332" w:type="dxa"/>
          </w:tcPr>
          <w:p w14:paraId="594CE33E" w14:textId="77777777" w:rsidR="008C019A" w:rsidRPr="00FB655B" w:rsidRDefault="008C019A">
            <w:pPr>
              <w:rPr>
                <w:rFonts w:cstheme="minorHAnsi"/>
                <w:sz w:val="18"/>
                <w:szCs w:val="18"/>
              </w:rPr>
            </w:pPr>
          </w:p>
        </w:tc>
        <w:tc>
          <w:tcPr>
            <w:tcW w:w="4452" w:type="dxa"/>
          </w:tcPr>
          <w:p w14:paraId="152AB6B2" w14:textId="0E61F193" w:rsidR="00137DF6" w:rsidRPr="00D1617F" w:rsidRDefault="00137DF6" w:rsidP="00137DF6">
            <w:pPr>
              <w:ind w:left="377" w:hanging="377"/>
              <w:jc w:val="both"/>
              <w:rPr>
                <w:rFonts w:cstheme="minorHAnsi"/>
                <w:color w:val="FF0000"/>
                <w:sz w:val="18"/>
                <w:szCs w:val="18"/>
              </w:rPr>
            </w:pPr>
            <w:r>
              <w:rPr>
                <w:rFonts w:cstheme="minorHAnsi"/>
                <w:sz w:val="18"/>
                <w:szCs w:val="18"/>
              </w:rPr>
              <w:t>2.</w:t>
            </w:r>
            <w:r w:rsidRPr="00137DF6">
              <w:rPr>
                <w:rFonts w:cstheme="minorHAnsi"/>
                <w:sz w:val="18"/>
                <w:szCs w:val="18"/>
              </w:rPr>
              <w:tab/>
            </w:r>
            <w:r w:rsidRPr="00D1617F">
              <w:rPr>
                <w:rFonts w:cstheme="minorHAnsi"/>
                <w:color w:val="FF0000"/>
                <w:sz w:val="18"/>
                <w:szCs w:val="18"/>
              </w:rPr>
              <w:t>Se entenderá que se infringen las prohibiciones establecidas en el inciso primero del artículo 55 de la Ley General de Urbanismo y Construcciones, cuando fuera de las excepciones señaladas en dicha Ley y en esta Ordenanza General, se proceda a la apertura de calles, esto es, espacios destinados a la circulación de vehículos que se comunican con otras vía</w:t>
            </w:r>
            <w:r w:rsidR="00B65C10" w:rsidRPr="00D1617F">
              <w:rPr>
                <w:rFonts w:cstheme="minorHAnsi"/>
                <w:color w:val="FF0000"/>
                <w:sz w:val="18"/>
                <w:szCs w:val="18"/>
              </w:rPr>
              <w:t xml:space="preserve">s o se levanten construcciones, sean éstas edificaciones o urbanizaciones, </w:t>
            </w:r>
            <w:r w:rsidR="00891A25" w:rsidRPr="00D1617F">
              <w:rPr>
                <w:rFonts w:cstheme="minorHAnsi"/>
                <w:color w:val="FF0000"/>
                <w:sz w:val="18"/>
                <w:szCs w:val="18"/>
              </w:rPr>
              <w:t xml:space="preserve">en ambos casos </w:t>
            </w:r>
            <w:r w:rsidR="00B65C10" w:rsidRPr="00D1617F">
              <w:rPr>
                <w:rFonts w:cstheme="minorHAnsi"/>
                <w:color w:val="FF0000"/>
                <w:sz w:val="18"/>
                <w:szCs w:val="18"/>
              </w:rPr>
              <w:t>con fines ajenos a la agricultura</w:t>
            </w:r>
            <w:r w:rsidR="00BB2E0E" w:rsidRPr="00D1617F">
              <w:rPr>
                <w:rFonts w:cstheme="minorHAnsi"/>
                <w:color w:val="FF0000"/>
                <w:sz w:val="18"/>
                <w:szCs w:val="18"/>
              </w:rPr>
              <w:t>,</w:t>
            </w:r>
            <w:r w:rsidRPr="00D1617F">
              <w:rPr>
                <w:rFonts w:cstheme="minorHAnsi"/>
                <w:color w:val="FF0000"/>
                <w:sz w:val="18"/>
                <w:szCs w:val="18"/>
              </w:rPr>
              <w:t xml:space="preserve"> o se subdivida con el fin de que un grupo de personas habite en los sitios resultantes en el luga</w:t>
            </w:r>
            <w:r w:rsidR="00B65C10" w:rsidRPr="00D1617F">
              <w:rPr>
                <w:rFonts w:cstheme="minorHAnsi"/>
                <w:color w:val="FF0000"/>
                <w:sz w:val="18"/>
                <w:szCs w:val="18"/>
              </w:rPr>
              <w:t xml:space="preserve">r. </w:t>
            </w:r>
          </w:p>
          <w:p w14:paraId="7C7B2D89" w14:textId="77777777" w:rsidR="002815BC" w:rsidRPr="00FB655B" w:rsidRDefault="002815BC" w:rsidP="002815BC">
            <w:pPr>
              <w:pStyle w:val="Prrafodelista"/>
              <w:ind w:left="381"/>
              <w:jc w:val="both"/>
              <w:rPr>
                <w:rFonts w:cstheme="minorHAnsi"/>
                <w:sz w:val="18"/>
                <w:szCs w:val="18"/>
              </w:rPr>
            </w:pPr>
          </w:p>
        </w:tc>
        <w:tc>
          <w:tcPr>
            <w:tcW w:w="4212" w:type="dxa"/>
          </w:tcPr>
          <w:p w14:paraId="6395882A" w14:textId="77777777" w:rsidR="008C019A" w:rsidRDefault="008C019A" w:rsidP="000564FB">
            <w:pPr>
              <w:tabs>
                <w:tab w:val="left" w:pos="1349"/>
              </w:tabs>
              <w:jc w:val="both"/>
              <w:rPr>
                <w:rFonts w:cstheme="minorHAnsi"/>
                <w:sz w:val="18"/>
                <w:szCs w:val="18"/>
              </w:rPr>
            </w:pPr>
          </w:p>
          <w:p w14:paraId="19C29CB7" w14:textId="0BDF5A2D" w:rsidR="00AD748D" w:rsidRPr="00AD748D" w:rsidRDefault="00AD748D" w:rsidP="002F18DD">
            <w:pPr>
              <w:pStyle w:val="Prrafodelista"/>
              <w:tabs>
                <w:tab w:val="left" w:pos="1349"/>
              </w:tabs>
              <w:jc w:val="both"/>
              <w:rPr>
                <w:rFonts w:cstheme="minorHAnsi"/>
                <w:sz w:val="18"/>
                <w:szCs w:val="18"/>
              </w:rPr>
            </w:pPr>
          </w:p>
        </w:tc>
      </w:tr>
      <w:tr w:rsidR="008C019A" w:rsidRPr="00FB655B" w14:paraId="4D23EA66" w14:textId="77777777" w:rsidTr="00675D3D">
        <w:tc>
          <w:tcPr>
            <w:tcW w:w="4332" w:type="dxa"/>
          </w:tcPr>
          <w:p w14:paraId="02B19621" w14:textId="77777777" w:rsidR="008C019A" w:rsidRPr="00FB655B" w:rsidRDefault="008C019A" w:rsidP="008C019A">
            <w:pPr>
              <w:pStyle w:val="Prrafodelista"/>
              <w:numPr>
                <w:ilvl w:val="0"/>
                <w:numId w:val="5"/>
              </w:numPr>
              <w:autoSpaceDE w:val="0"/>
              <w:autoSpaceDN w:val="0"/>
              <w:adjustRightInd w:val="0"/>
              <w:ind w:left="306" w:hanging="284"/>
              <w:jc w:val="both"/>
              <w:rPr>
                <w:rFonts w:cstheme="minorHAnsi"/>
                <w:sz w:val="18"/>
                <w:szCs w:val="18"/>
              </w:rPr>
            </w:pPr>
            <w:r w:rsidRPr="00FB655B">
              <w:rPr>
                <w:rFonts w:cstheme="minorHAnsi"/>
                <w:sz w:val="18"/>
                <w:szCs w:val="18"/>
              </w:rPr>
              <w:t xml:space="preserve">Conforme al inciso tercero del artículo 55 de la Ley General de Urbanismo y Construcciones, en relación con lo previsto en la letra e) del inciso segundo del artículo 1º del D.L. Nº 3.516, de 1980, cuando sea necesario subdividir y urbanizar terrenos rurales en lotes cuyas superficies sean inferiores a 0,5 hectárea física, para complementar alguna actividad industrial con viviendas, dotar de equipamiento a algún sector rural, o habilitar un balneario o campamento turístico, o para la construcción de conjuntos habitacionales de viviendas sociales o de viviendas de hasta un valor de 1.000 unidades de fomento, que cuenten con los requisitos para obtener el subsidio del Estado, se deberá solicitar la autorización correspondiente a la Secretaría Regional Ministerial de Agricultura respectiva, la que </w:t>
            </w:r>
            <w:r w:rsidRPr="00FB655B">
              <w:rPr>
                <w:rFonts w:cstheme="minorHAnsi"/>
                <w:sz w:val="18"/>
                <w:szCs w:val="18"/>
              </w:rPr>
              <w:lastRenderedPageBreak/>
              <w:t>deberá contar con el informe previo favorable de la Secretaría Regional Ministerial de Vivienda y Urbanismo, observando el procedimiento previsto en el artículo 3.1.7. de esta Ordenanza. La Secretaría Regional Ministerial de Vivienda y Urbanismo deberá señalar en su informe el grado de urbanización que deberá tener esa división predial, conforme a lo que establece esta Ordenanza en sus artículos 2.2.10. y 6.3.3., según proceda.</w:t>
            </w:r>
          </w:p>
          <w:p w14:paraId="71D910BB" w14:textId="77777777" w:rsidR="008C019A" w:rsidRPr="00FB655B" w:rsidRDefault="008C019A" w:rsidP="008C019A">
            <w:pPr>
              <w:autoSpaceDE w:val="0"/>
              <w:autoSpaceDN w:val="0"/>
              <w:adjustRightInd w:val="0"/>
              <w:jc w:val="both"/>
              <w:rPr>
                <w:rFonts w:cstheme="minorHAnsi"/>
                <w:sz w:val="18"/>
                <w:szCs w:val="18"/>
              </w:rPr>
            </w:pPr>
          </w:p>
        </w:tc>
        <w:tc>
          <w:tcPr>
            <w:tcW w:w="4452" w:type="dxa"/>
          </w:tcPr>
          <w:p w14:paraId="2F63BE3D" w14:textId="2B28C7CF" w:rsidR="008C019A" w:rsidRPr="00FB655B" w:rsidRDefault="008C019A" w:rsidP="006424B0">
            <w:pPr>
              <w:pStyle w:val="Prrafodelista"/>
              <w:numPr>
                <w:ilvl w:val="0"/>
                <w:numId w:val="5"/>
              </w:numPr>
              <w:ind w:left="379" w:hanging="425"/>
              <w:jc w:val="both"/>
              <w:rPr>
                <w:rFonts w:cstheme="minorHAnsi"/>
                <w:sz w:val="18"/>
                <w:szCs w:val="18"/>
              </w:rPr>
            </w:pPr>
            <w:r w:rsidRPr="00FB655B">
              <w:rPr>
                <w:rFonts w:cstheme="minorHAnsi"/>
                <w:sz w:val="18"/>
                <w:szCs w:val="18"/>
              </w:rPr>
              <w:lastRenderedPageBreak/>
              <w:t xml:space="preserve">Conforme al inciso tercero del artículo 55 de la Ley General de Urbanismo y Construcciones, en relación con lo previsto en la letra e) del inciso segundo del artículo 1º del D.L. Nº 3.516, de 1980, cuando sea necesario subdividir y urbanizar terrenos rurales en lotes cuyas superficies sean inferiores a 0,5 hectárea física, para complementar alguna actividad industrial con viviendas, dotar de equipamiento a algún sector rural, o habilitar un balneario o campamento turístico, o para la construcción de conjuntos habitacionales de viviendas sociales o de viviendas de hasta un valor de 1.000 unidades de fomento,  que cuenten con los requisitos para obtener el subsidio del Estado se deberá solicitar la autorización correspondiente a la Secretaría Regional Ministerial de Agricultura respectiva, la que deberá contar con el </w:t>
            </w:r>
            <w:r w:rsidRPr="00FB655B">
              <w:rPr>
                <w:rFonts w:cstheme="minorHAnsi"/>
                <w:sz w:val="18"/>
                <w:szCs w:val="18"/>
              </w:rPr>
              <w:lastRenderedPageBreak/>
              <w:t>informe previo favorable de la Secretaría Regional Ministerial de Vivienda y Urbanismo, observando el procedimiento previsto en el artículo 3.1.7. de esta Ordenanza. La Secretaría Regional Ministerial de Vivienda y Urbanismo deberá señalar en su informe el grado de urbanización que deberá tener esa división predial, conforme a lo que establece esta Ordenanza en sus artículos 2.2.10. y 6.3.3., según proceda.</w:t>
            </w:r>
          </w:p>
        </w:tc>
        <w:tc>
          <w:tcPr>
            <w:tcW w:w="4212" w:type="dxa"/>
          </w:tcPr>
          <w:p w14:paraId="2085EEB9" w14:textId="5C4237FE" w:rsidR="008C019A" w:rsidRPr="00FB655B" w:rsidRDefault="008C019A" w:rsidP="008A7711">
            <w:pPr>
              <w:pStyle w:val="Prrafodelista"/>
              <w:ind w:left="178"/>
              <w:jc w:val="both"/>
              <w:rPr>
                <w:rFonts w:cstheme="minorHAnsi"/>
                <w:sz w:val="18"/>
                <w:szCs w:val="18"/>
              </w:rPr>
            </w:pPr>
          </w:p>
        </w:tc>
      </w:tr>
      <w:tr w:rsidR="008C019A" w:rsidRPr="00FB655B" w14:paraId="0C3B5AAB" w14:textId="77777777" w:rsidTr="00675D3D">
        <w:tc>
          <w:tcPr>
            <w:tcW w:w="4332" w:type="dxa"/>
          </w:tcPr>
          <w:p w14:paraId="75E437EC" w14:textId="77777777" w:rsidR="008C019A" w:rsidRPr="00FB655B" w:rsidRDefault="008C019A" w:rsidP="008C019A">
            <w:pPr>
              <w:pStyle w:val="Prrafodelista"/>
              <w:numPr>
                <w:ilvl w:val="0"/>
                <w:numId w:val="6"/>
              </w:numPr>
              <w:autoSpaceDE w:val="0"/>
              <w:autoSpaceDN w:val="0"/>
              <w:adjustRightInd w:val="0"/>
              <w:ind w:left="306" w:hanging="306"/>
              <w:jc w:val="both"/>
              <w:rPr>
                <w:rFonts w:cstheme="minorHAnsi"/>
                <w:sz w:val="18"/>
                <w:szCs w:val="18"/>
              </w:rPr>
            </w:pPr>
            <w:r w:rsidRPr="00FB655B">
              <w:rPr>
                <w:rFonts w:cstheme="minorHAnsi"/>
                <w:sz w:val="18"/>
                <w:szCs w:val="18"/>
              </w:rPr>
              <w:t>Para las construcciones necesarias para la explotación agrícola del inmueble, o para las viviendas del propietario del mismo y sus trabajadores, como asimismo, una vez obtenida la autorización a que se refiere el número anterior, para la construcción de conjuntos habitacionales de viviendas sociales o de viviendas de hasta un valor de 1.000 unidades de fomento, que cuenten con los requisitos para obtener subsidio del Estado, a que alude el inciso primero del artículo 55 de la Ley General de Urbanismo y Construcciones, se deberá solicitar el permiso de edificación correspondiente del Director de Obras Municipales, conforme lo exige el artículo 116 del mismo cuerpo legal, acompañando los antecedentes que señala el artículo 5.1.6. de esta Ordenanza. Dicha Autoridad lo concederá previa verificación del cumplimiento de las normas generales de edificación que contempla esta Ordenanza, sin perjuicio del pago de los derechos municipales que procedan. En caso de anteproyectos, se acompañarán los antecedentes que señala el artículo 5.1.5.</w:t>
            </w:r>
          </w:p>
          <w:p w14:paraId="4F425604" w14:textId="77777777" w:rsidR="008C019A" w:rsidRPr="00FB655B" w:rsidRDefault="008C019A" w:rsidP="008C019A">
            <w:pPr>
              <w:pStyle w:val="Prrafodelista"/>
              <w:autoSpaceDE w:val="0"/>
              <w:autoSpaceDN w:val="0"/>
              <w:adjustRightInd w:val="0"/>
              <w:jc w:val="both"/>
              <w:rPr>
                <w:rFonts w:cstheme="minorHAnsi"/>
                <w:sz w:val="18"/>
                <w:szCs w:val="18"/>
              </w:rPr>
            </w:pPr>
          </w:p>
          <w:p w14:paraId="3EEAA5E7" w14:textId="77777777" w:rsidR="008C019A" w:rsidRPr="00FB655B" w:rsidRDefault="008C019A" w:rsidP="008C019A">
            <w:pPr>
              <w:pStyle w:val="Prrafodelista"/>
              <w:autoSpaceDE w:val="0"/>
              <w:autoSpaceDN w:val="0"/>
              <w:adjustRightInd w:val="0"/>
              <w:ind w:left="306"/>
              <w:jc w:val="both"/>
              <w:rPr>
                <w:rFonts w:cstheme="minorHAnsi"/>
                <w:sz w:val="18"/>
                <w:szCs w:val="18"/>
              </w:rPr>
            </w:pPr>
            <w:r w:rsidRPr="00FB655B">
              <w:rPr>
                <w:rFonts w:cstheme="minorHAnsi"/>
                <w:sz w:val="18"/>
                <w:szCs w:val="18"/>
              </w:rPr>
              <w:t xml:space="preserve">Para la determinación del valor máximo de 1.000 unidades de fomento, de las viviendas a que se refiere este artículo, se estará al presupuesto indicado en el permiso de edificación incrementado en un 30%, excepto tratándose de viviendas sociales, cuya calificación corresponde practicar al Director de Obras Municipales respectivo, conforme al </w:t>
            </w:r>
            <w:r w:rsidRPr="00FB655B">
              <w:rPr>
                <w:rFonts w:cstheme="minorHAnsi"/>
                <w:sz w:val="18"/>
                <w:szCs w:val="18"/>
              </w:rPr>
              <w:lastRenderedPageBreak/>
              <w:t xml:space="preserve">procedimiento previsto en el artículo 6.1.4. de esta Ordenanza. </w:t>
            </w:r>
          </w:p>
          <w:p w14:paraId="4AEB6F93" w14:textId="77777777" w:rsidR="008C019A" w:rsidRPr="00FB655B" w:rsidRDefault="008C019A" w:rsidP="008C019A">
            <w:pPr>
              <w:pStyle w:val="Prrafodelista"/>
              <w:autoSpaceDE w:val="0"/>
              <w:autoSpaceDN w:val="0"/>
              <w:adjustRightInd w:val="0"/>
              <w:jc w:val="both"/>
              <w:rPr>
                <w:rFonts w:cstheme="minorHAnsi"/>
                <w:sz w:val="18"/>
                <w:szCs w:val="18"/>
              </w:rPr>
            </w:pPr>
          </w:p>
          <w:p w14:paraId="45244061" w14:textId="77777777" w:rsidR="008C019A" w:rsidRDefault="008C019A" w:rsidP="008C019A">
            <w:pPr>
              <w:ind w:left="306"/>
              <w:jc w:val="both"/>
              <w:rPr>
                <w:rFonts w:cstheme="minorHAnsi"/>
                <w:b/>
                <w:bCs/>
                <w:sz w:val="18"/>
                <w:szCs w:val="18"/>
              </w:rPr>
            </w:pPr>
            <w:r w:rsidRPr="00FB655B">
              <w:rPr>
                <w:rFonts w:cstheme="minorHAnsi"/>
                <w:sz w:val="18"/>
                <w:szCs w:val="18"/>
              </w:rPr>
              <w:t>Se entenderá que las viviendas aludidas precedentemente cumplen con uno de los requisitos exigidos para obtener el subsidio del Estado, cuando se trata de conjuntos de viviendas en los términos que señala el artículo 6.1.2. de esta Ordenanza</w:t>
            </w:r>
            <w:r w:rsidRPr="00FB655B">
              <w:rPr>
                <w:rFonts w:cstheme="minorHAnsi"/>
                <w:b/>
                <w:bCs/>
                <w:sz w:val="18"/>
                <w:szCs w:val="18"/>
              </w:rPr>
              <w:t>.</w:t>
            </w:r>
          </w:p>
          <w:p w14:paraId="1AC6AB3F" w14:textId="77777777" w:rsidR="00675D3D" w:rsidRPr="00FB655B" w:rsidRDefault="00675D3D" w:rsidP="008C019A">
            <w:pPr>
              <w:ind w:left="306"/>
              <w:jc w:val="both"/>
              <w:rPr>
                <w:rFonts w:cstheme="minorHAnsi"/>
                <w:sz w:val="18"/>
                <w:szCs w:val="18"/>
              </w:rPr>
            </w:pPr>
          </w:p>
        </w:tc>
        <w:tc>
          <w:tcPr>
            <w:tcW w:w="4452" w:type="dxa"/>
          </w:tcPr>
          <w:p w14:paraId="52A459D7" w14:textId="77777777" w:rsidR="008C019A" w:rsidRPr="00FB655B" w:rsidRDefault="008C019A" w:rsidP="00870598">
            <w:pPr>
              <w:pStyle w:val="Prrafodelista"/>
              <w:numPr>
                <w:ilvl w:val="0"/>
                <w:numId w:val="6"/>
              </w:numPr>
              <w:autoSpaceDE w:val="0"/>
              <w:autoSpaceDN w:val="0"/>
              <w:adjustRightInd w:val="0"/>
              <w:ind w:left="377" w:hanging="377"/>
              <w:jc w:val="both"/>
              <w:rPr>
                <w:rFonts w:cstheme="minorHAnsi"/>
                <w:sz w:val="18"/>
                <w:szCs w:val="18"/>
              </w:rPr>
            </w:pPr>
            <w:r w:rsidRPr="00FB655B">
              <w:rPr>
                <w:rFonts w:cstheme="minorHAnsi"/>
                <w:sz w:val="18"/>
                <w:szCs w:val="18"/>
              </w:rPr>
              <w:lastRenderedPageBreak/>
              <w:t>Para las construcciones necesarias para la explotación agrícola del inmueble, o para las viviendas del propietario del mismo y sus trabajadores, como asimismo, una vez obtenida la autorización a que se refiere el número anterior, para la construcción de conjuntos habitacionales de viviendas sociales o de viviendas de hasta un valor de 1.000 unidades de fomento, que cuenten con los requisitos para obtener subsidio del Estado, a que alude el inciso primero del artículo 55 de la Ley General de Urbanismo y Construcciones, se deberá solicitar el permiso de edificación correspondiente del Director de Obras Municipales, conforme lo exige el artículo 116 del mismo cuerpo legal, acompañando los antecedentes que señala el artículo 5.1.6. de esta Ordenanza. Dicha Autoridad lo concederá previa verificación del cumplimiento de las normas generales de edificación que contempla esta Ordenanza, sin perjuicio del pago de los derechos municipales que procedan. En caso de anteproyectos, se acompañarán los antecedentes que señala el artículo 5.1.5.</w:t>
            </w:r>
          </w:p>
          <w:p w14:paraId="061771AA" w14:textId="77777777" w:rsidR="008C019A" w:rsidRPr="00FB655B" w:rsidRDefault="008C019A" w:rsidP="008C019A">
            <w:pPr>
              <w:pStyle w:val="Prrafodelista"/>
              <w:autoSpaceDE w:val="0"/>
              <w:autoSpaceDN w:val="0"/>
              <w:adjustRightInd w:val="0"/>
              <w:jc w:val="both"/>
              <w:rPr>
                <w:rFonts w:cstheme="minorHAnsi"/>
                <w:sz w:val="18"/>
                <w:szCs w:val="18"/>
              </w:rPr>
            </w:pPr>
          </w:p>
          <w:p w14:paraId="4C703118" w14:textId="77777777" w:rsidR="008C019A" w:rsidRPr="00FB655B" w:rsidRDefault="008C019A" w:rsidP="00870598">
            <w:pPr>
              <w:pStyle w:val="Prrafodelista"/>
              <w:autoSpaceDE w:val="0"/>
              <w:autoSpaceDN w:val="0"/>
              <w:adjustRightInd w:val="0"/>
              <w:ind w:left="377"/>
              <w:jc w:val="both"/>
              <w:rPr>
                <w:rFonts w:cstheme="minorHAnsi"/>
                <w:sz w:val="18"/>
                <w:szCs w:val="18"/>
              </w:rPr>
            </w:pPr>
            <w:r w:rsidRPr="00FB655B">
              <w:rPr>
                <w:rFonts w:cstheme="minorHAnsi"/>
                <w:sz w:val="18"/>
                <w:szCs w:val="18"/>
              </w:rPr>
              <w:t xml:space="preserve">Para la determinación del valor máximo de 1.000 unidades de fomento, de las viviendas a que se refiere este artículo, se estará al presupuesto indicado en el permiso de edificación incrementado en un 30%, excepto tratándose de viviendas sociales, cuya calificación corresponde practicar al Director de Obras Municipales respectivo, conforme al </w:t>
            </w:r>
            <w:r w:rsidRPr="00FB655B">
              <w:rPr>
                <w:rFonts w:cstheme="minorHAnsi"/>
                <w:sz w:val="18"/>
                <w:szCs w:val="18"/>
              </w:rPr>
              <w:lastRenderedPageBreak/>
              <w:t xml:space="preserve">procedimiento previsto en el artículo 6.1.4. de esta Ordenanza. </w:t>
            </w:r>
          </w:p>
          <w:p w14:paraId="07183140" w14:textId="77777777" w:rsidR="008C019A" w:rsidRPr="00FB655B" w:rsidRDefault="008C019A" w:rsidP="008C019A">
            <w:pPr>
              <w:pStyle w:val="Prrafodelista"/>
              <w:autoSpaceDE w:val="0"/>
              <w:autoSpaceDN w:val="0"/>
              <w:adjustRightInd w:val="0"/>
              <w:jc w:val="both"/>
              <w:rPr>
                <w:rFonts w:cstheme="minorHAnsi"/>
                <w:sz w:val="18"/>
                <w:szCs w:val="18"/>
              </w:rPr>
            </w:pPr>
          </w:p>
          <w:p w14:paraId="46261B52" w14:textId="77777777" w:rsidR="008C019A" w:rsidRPr="00FB655B" w:rsidRDefault="008C019A" w:rsidP="00870598">
            <w:pPr>
              <w:ind w:left="377"/>
              <w:jc w:val="both"/>
              <w:rPr>
                <w:rFonts w:cstheme="minorHAnsi"/>
                <w:sz w:val="18"/>
                <w:szCs w:val="18"/>
              </w:rPr>
            </w:pPr>
            <w:r w:rsidRPr="00FB655B">
              <w:rPr>
                <w:rFonts w:cstheme="minorHAnsi"/>
                <w:sz w:val="18"/>
                <w:szCs w:val="18"/>
              </w:rPr>
              <w:t>Se entenderá que las viviendas aludidas precedentemente cumplen con uno de los requisitos exigidos para obtener el subsidio del Estado, cuando se trata de conjuntos de viviendas en los términos que señala el artículo 6.1.2. de esta Ordenanza</w:t>
            </w:r>
            <w:r w:rsidRPr="00FB655B">
              <w:rPr>
                <w:rFonts w:cstheme="minorHAnsi"/>
                <w:b/>
                <w:bCs/>
                <w:sz w:val="18"/>
                <w:szCs w:val="18"/>
              </w:rPr>
              <w:t>.</w:t>
            </w:r>
          </w:p>
        </w:tc>
        <w:tc>
          <w:tcPr>
            <w:tcW w:w="4212" w:type="dxa"/>
          </w:tcPr>
          <w:p w14:paraId="3EF30609" w14:textId="77777777" w:rsidR="008C019A" w:rsidRPr="00FB655B" w:rsidRDefault="008C019A" w:rsidP="008C019A">
            <w:pPr>
              <w:rPr>
                <w:rFonts w:cstheme="minorHAnsi"/>
                <w:sz w:val="18"/>
                <w:szCs w:val="18"/>
              </w:rPr>
            </w:pPr>
          </w:p>
        </w:tc>
      </w:tr>
      <w:tr w:rsidR="008C019A" w:rsidRPr="00FB655B" w14:paraId="0719B6B3" w14:textId="77777777" w:rsidTr="000564FB">
        <w:trPr>
          <w:trHeight w:val="3428"/>
        </w:trPr>
        <w:tc>
          <w:tcPr>
            <w:tcW w:w="4332" w:type="dxa"/>
          </w:tcPr>
          <w:p w14:paraId="5C120BF7" w14:textId="77777777" w:rsidR="000168F5" w:rsidRPr="00FB655B" w:rsidRDefault="000168F5" w:rsidP="000168F5">
            <w:pPr>
              <w:pStyle w:val="Prrafodelista"/>
              <w:numPr>
                <w:ilvl w:val="0"/>
                <w:numId w:val="9"/>
              </w:numPr>
              <w:autoSpaceDE w:val="0"/>
              <w:autoSpaceDN w:val="0"/>
              <w:adjustRightInd w:val="0"/>
              <w:ind w:left="306" w:hanging="284"/>
              <w:jc w:val="both"/>
              <w:rPr>
                <w:rFonts w:cstheme="minorHAnsi"/>
                <w:sz w:val="18"/>
                <w:szCs w:val="18"/>
              </w:rPr>
            </w:pPr>
            <w:r w:rsidRPr="00FB655B">
              <w:rPr>
                <w:rFonts w:cstheme="minorHAnsi"/>
                <w:sz w:val="18"/>
                <w:szCs w:val="18"/>
              </w:rPr>
              <w:t xml:space="preserve">Para las construcciones industriales, de equipamiento, turismo y poblaciones, fuera de los límites urbanos, que no contemplen procesos de subdivisión, se solicitará la aprobación correspondiente de la Dirección de Obras Municipales, previo informe favorable de la Secretaría Regional Ministerial de Vivienda y Urbanismo respectiva y del Servicio Agrícola y Ganadero. </w:t>
            </w:r>
          </w:p>
          <w:p w14:paraId="3B61E543" w14:textId="77777777" w:rsidR="008C019A" w:rsidRPr="00FB655B" w:rsidRDefault="008C019A" w:rsidP="000168F5">
            <w:pPr>
              <w:pStyle w:val="Prrafodelista"/>
              <w:autoSpaceDE w:val="0"/>
              <w:autoSpaceDN w:val="0"/>
              <w:adjustRightInd w:val="0"/>
              <w:ind w:left="306"/>
              <w:jc w:val="both"/>
              <w:rPr>
                <w:rFonts w:cstheme="minorHAnsi"/>
                <w:sz w:val="18"/>
                <w:szCs w:val="18"/>
              </w:rPr>
            </w:pPr>
          </w:p>
        </w:tc>
        <w:tc>
          <w:tcPr>
            <w:tcW w:w="4452" w:type="dxa"/>
          </w:tcPr>
          <w:p w14:paraId="35A50FB6" w14:textId="3256E578" w:rsidR="000168F5" w:rsidRPr="00FB655B" w:rsidRDefault="000168F5" w:rsidP="00870598">
            <w:pPr>
              <w:pStyle w:val="Prrafodelista"/>
              <w:numPr>
                <w:ilvl w:val="0"/>
                <w:numId w:val="9"/>
              </w:numPr>
              <w:autoSpaceDE w:val="0"/>
              <w:autoSpaceDN w:val="0"/>
              <w:adjustRightInd w:val="0"/>
              <w:ind w:left="377" w:hanging="423"/>
              <w:jc w:val="both"/>
              <w:rPr>
                <w:rFonts w:cstheme="minorHAnsi"/>
                <w:sz w:val="18"/>
                <w:szCs w:val="18"/>
              </w:rPr>
            </w:pPr>
            <w:r w:rsidRPr="00FB655B">
              <w:rPr>
                <w:rFonts w:cstheme="minorHAnsi"/>
                <w:sz w:val="18"/>
                <w:szCs w:val="18"/>
              </w:rPr>
              <w:t>Para las construcciones industriales</w:t>
            </w:r>
            <w:r w:rsidRPr="00D1617F">
              <w:rPr>
                <w:rFonts w:cstheme="minorHAnsi"/>
                <w:color w:val="FF0000"/>
                <w:sz w:val="18"/>
                <w:szCs w:val="18"/>
              </w:rPr>
              <w:t>,</w:t>
            </w:r>
            <w:r w:rsidR="00137DF6" w:rsidRPr="00D1617F">
              <w:rPr>
                <w:rFonts w:cstheme="minorHAnsi"/>
                <w:color w:val="FF0000"/>
                <w:sz w:val="18"/>
                <w:szCs w:val="18"/>
              </w:rPr>
              <w:t xml:space="preserve"> de infraestructura,</w:t>
            </w:r>
            <w:r w:rsidRPr="00FB655B">
              <w:rPr>
                <w:rFonts w:cstheme="minorHAnsi"/>
                <w:sz w:val="18"/>
                <w:szCs w:val="18"/>
              </w:rPr>
              <w:t xml:space="preserve"> de equipamiento, turismo y poblaciones, fuera de los límites urbanos, que no contemplen procesos de subdivisión, se solicitará la aprobación correspondiente de la Dirección de Obras Municipales, previo informe favorable de la Secretaría Regional Ministerial de Vivienda y Urbanismo respectiva y del Servicio Agrícola y Ganadero. </w:t>
            </w:r>
          </w:p>
          <w:p w14:paraId="185880D4" w14:textId="1631F8E9" w:rsidR="008A7711" w:rsidRPr="00FB655B" w:rsidRDefault="00137DF6" w:rsidP="00137DF6">
            <w:pPr>
              <w:pStyle w:val="Prrafodelista"/>
              <w:autoSpaceDE w:val="0"/>
              <w:autoSpaceDN w:val="0"/>
              <w:adjustRightInd w:val="0"/>
              <w:spacing w:before="120"/>
              <w:ind w:left="380"/>
              <w:contextualSpacing w:val="0"/>
              <w:jc w:val="both"/>
              <w:rPr>
                <w:rFonts w:cstheme="minorHAnsi"/>
                <w:sz w:val="18"/>
                <w:szCs w:val="18"/>
              </w:rPr>
            </w:pPr>
            <w:r w:rsidRPr="00D1617F">
              <w:rPr>
                <w:rFonts w:cstheme="minorHAnsi"/>
                <w:color w:val="FF0000"/>
                <w:sz w:val="18"/>
                <w:szCs w:val="18"/>
              </w:rPr>
              <w:t>Para estos efectos, se entenderá por “poblaciones”, la construcción de 2 o más viviendas en un mismo predio, las que deberán acogerse al régimen de copropiedad inmobiliaria, regulado en la ley N° 21.442 de 2022, o en aquella que la reemplace.</w:t>
            </w:r>
          </w:p>
        </w:tc>
        <w:tc>
          <w:tcPr>
            <w:tcW w:w="4212" w:type="dxa"/>
          </w:tcPr>
          <w:p w14:paraId="1652F1FA" w14:textId="77777777" w:rsidR="008C019A" w:rsidRPr="00FB655B" w:rsidRDefault="008C019A" w:rsidP="008C019A">
            <w:pPr>
              <w:rPr>
                <w:rFonts w:cstheme="minorHAnsi"/>
                <w:sz w:val="18"/>
                <w:szCs w:val="18"/>
              </w:rPr>
            </w:pPr>
          </w:p>
        </w:tc>
      </w:tr>
      <w:tr w:rsidR="000168F5" w:rsidRPr="00FB655B" w14:paraId="125FEA99" w14:textId="77777777" w:rsidTr="00675D3D">
        <w:tc>
          <w:tcPr>
            <w:tcW w:w="4332" w:type="dxa"/>
          </w:tcPr>
          <w:p w14:paraId="0082B152" w14:textId="77777777" w:rsidR="000168F5" w:rsidRPr="00FB655B" w:rsidRDefault="000168F5" w:rsidP="000168F5">
            <w:pPr>
              <w:pStyle w:val="Prrafodelista"/>
              <w:autoSpaceDE w:val="0"/>
              <w:autoSpaceDN w:val="0"/>
              <w:adjustRightInd w:val="0"/>
              <w:ind w:left="306"/>
              <w:jc w:val="both"/>
              <w:rPr>
                <w:rFonts w:cstheme="minorHAnsi"/>
                <w:sz w:val="18"/>
                <w:szCs w:val="18"/>
              </w:rPr>
            </w:pPr>
            <w:r w:rsidRPr="00FB655B">
              <w:rPr>
                <w:rFonts w:cstheme="minorHAnsi"/>
                <w:sz w:val="18"/>
                <w:szCs w:val="18"/>
              </w:rPr>
              <w:t xml:space="preserve">La solicitud ante el Director de Obras Municipales se tramitará conforme al procedimiento general que contempla esta Ordenanza, acompañando los antecedentes que señalan los artículos 5.1.5. ó 5.1.6. según se trate de anteproyecto o proyecto, respectivamente. Dicha Autoridad lo concederá si cuenta con los informes favorables respectivos antes aludidos y previa verificación del cumplimiento de las normas generales de edificación que contempla esta Ordenanza, sin perjuicio del pago de los derechos municipales que procedan. </w:t>
            </w:r>
          </w:p>
          <w:p w14:paraId="30D9446C" w14:textId="77777777" w:rsidR="000168F5" w:rsidRPr="00FB655B" w:rsidRDefault="000168F5" w:rsidP="000168F5">
            <w:pPr>
              <w:pStyle w:val="Prrafodelista"/>
              <w:autoSpaceDE w:val="0"/>
              <w:autoSpaceDN w:val="0"/>
              <w:adjustRightInd w:val="0"/>
              <w:ind w:left="306"/>
              <w:jc w:val="both"/>
              <w:rPr>
                <w:rFonts w:cstheme="minorHAnsi"/>
                <w:sz w:val="18"/>
                <w:szCs w:val="18"/>
              </w:rPr>
            </w:pPr>
          </w:p>
        </w:tc>
        <w:tc>
          <w:tcPr>
            <w:tcW w:w="4452" w:type="dxa"/>
          </w:tcPr>
          <w:p w14:paraId="1A22AE77" w14:textId="77777777" w:rsidR="000168F5" w:rsidRPr="00FB655B" w:rsidRDefault="000168F5" w:rsidP="000168F5">
            <w:pPr>
              <w:pStyle w:val="Prrafodelista"/>
              <w:autoSpaceDE w:val="0"/>
              <w:autoSpaceDN w:val="0"/>
              <w:adjustRightInd w:val="0"/>
              <w:ind w:left="306"/>
              <w:jc w:val="both"/>
              <w:rPr>
                <w:rFonts w:cstheme="minorHAnsi"/>
                <w:sz w:val="18"/>
                <w:szCs w:val="18"/>
              </w:rPr>
            </w:pPr>
            <w:r w:rsidRPr="00FB655B">
              <w:rPr>
                <w:rFonts w:cstheme="minorHAnsi"/>
                <w:sz w:val="18"/>
                <w:szCs w:val="18"/>
              </w:rPr>
              <w:t xml:space="preserve">La solicitud ante el Director de Obras Municipales se tramitará conforme al procedimiento general que contempla esta Ordenanza, acompañando los antecedentes que señalan los artículos 5.1.5. ó 5.1.6. según se trate de anteproyecto o proyecto, respectivamente. Dicha Autoridad lo concederá si cuenta con los informes favorables respectivos antes aludidos y previa verificación del cumplimiento de las normas generales de edificación que contempla esta Ordenanza, sin perjuicio del pago de los derechos municipales que procedan. </w:t>
            </w:r>
          </w:p>
          <w:p w14:paraId="3F8BD84B" w14:textId="77777777" w:rsidR="000168F5" w:rsidRPr="00FB655B" w:rsidRDefault="000168F5" w:rsidP="000168F5">
            <w:pPr>
              <w:pStyle w:val="Prrafodelista"/>
              <w:autoSpaceDE w:val="0"/>
              <w:autoSpaceDN w:val="0"/>
              <w:adjustRightInd w:val="0"/>
              <w:ind w:left="306"/>
              <w:jc w:val="both"/>
              <w:rPr>
                <w:rFonts w:cstheme="minorHAnsi"/>
                <w:sz w:val="18"/>
                <w:szCs w:val="18"/>
              </w:rPr>
            </w:pPr>
          </w:p>
        </w:tc>
        <w:tc>
          <w:tcPr>
            <w:tcW w:w="4212" w:type="dxa"/>
          </w:tcPr>
          <w:p w14:paraId="53522B9C" w14:textId="77777777" w:rsidR="002815BC" w:rsidRPr="00FB655B" w:rsidRDefault="002815BC" w:rsidP="002815BC">
            <w:pPr>
              <w:pStyle w:val="Prrafodelista"/>
              <w:ind w:hanging="683"/>
              <w:rPr>
                <w:rFonts w:cstheme="minorHAnsi"/>
                <w:sz w:val="18"/>
                <w:szCs w:val="18"/>
              </w:rPr>
            </w:pPr>
          </w:p>
        </w:tc>
      </w:tr>
      <w:tr w:rsidR="000168F5" w:rsidRPr="00FB655B" w14:paraId="5B76B920" w14:textId="77777777" w:rsidTr="008C019A">
        <w:tc>
          <w:tcPr>
            <w:tcW w:w="4332" w:type="dxa"/>
          </w:tcPr>
          <w:p w14:paraId="04B7AAC8" w14:textId="77777777" w:rsidR="000168F5" w:rsidRPr="00FB655B" w:rsidRDefault="000168F5" w:rsidP="000168F5">
            <w:pPr>
              <w:pStyle w:val="Prrafodelista"/>
              <w:autoSpaceDE w:val="0"/>
              <w:autoSpaceDN w:val="0"/>
              <w:adjustRightInd w:val="0"/>
              <w:ind w:left="306"/>
              <w:jc w:val="both"/>
              <w:rPr>
                <w:rFonts w:cstheme="minorHAnsi"/>
                <w:sz w:val="18"/>
                <w:szCs w:val="18"/>
              </w:rPr>
            </w:pPr>
            <w:r w:rsidRPr="00FB655B">
              <w:rPr>
                <w:rFonts w:cstheme="minorHAnsi"/>
                <w:sz w:val="18"/>
                <w:szCs w:val="18"/>
              </w:rPr>
              <w:t xml:space="preserve">La Secretaría Regional Ministerial de Vivienda y Urbanismo verificará que las construcciones cumplen con las disposiciones pertinentes del </w:t>
            </w:r>
            <w:r w:rsidRPr="00FB655B">
              <w:rPr>
                <w:rFonts w:cstheme="minorHAnsi"/>
                <w:sz w:val="18"/>
                <w:szCs w:val="18"/>
              </w:rPr>
              <w:lastRenderedPageBreak/>
              <w:t xml:space="preserve">respectivo Instrumento de Planificación Territorial y en el informe favorable se pronunciará acerca de la dotación de servicios de agua potable, alcantarillado y electricidad que proponga el interesado. Para estos efectos, el interesado deberá presentar una memoria explicativa junto con un anteproyecto de edificación, conforme al artículo 5.1.5. de esta Ordenanza. La Secretaría Regional Ministerial respectiva evacuará su informe dentro de 30 días, contados desde el ingreso de la solicitud. El Servicio Agrícola y Ganadero emitirá su informe de acuerdo a la normativa vigente en la materia. </w:t>
            </w:r>
          </w:p>
          <w:p w14:paraId="151F5ACE" w14:textId="77777777" w:rsidR="000168F5" w:rsidRPr="00FB655B" w:rsidRDefault="000168F5" w:rsidP="000168F5">
            <w:pPr>
              <w:pStyle w:val="Prrafodelista"/>
              <w:autoSpaceDE w:val="0"/>
              <w:autoSpaceDN w:val="0"/>
              <w:adjustRightInd w:val="0"/>
              <w:ind w:left="306"/>
              <w:jc w:val="both"/>
              <w:rPr>
                <w:rFonts w:cstheme="minorHAnsi"/>
                <w:sz w:val="18"/>
                <w:szCs w:val="18"/>
              </w:rPr>
            </w:pPr>
          </w:p>
        </w:tc>
        <w:tc>
          <w:tcPr>
            <w:tcW w:w="4452" w:type="dxa"/>
          </w:tcPr>
          <w:p w14:paraId="6EEB4163" w14:textId="77777777" w:rsidR="000168F5" w:rsidRPr="00FB655B" w:rsidRDefault="000168F5" w:rsidP="000168F5">
            <w:pPr>
              <w:pStyle w:val="Prrafodelista"/>
              <w:autoSpaceDE w:val="0"/>
              <w:autoSpaceDN w:val="0"/>
              <w:adjustRightInd w:val="0"/>
              <w:ind w:left="306"/>
              <w:jc w:val="both"/>
              <w:rPr>
                <w:rFonts w:cstheme="minorHAnsi"/>
                <w:sz w:val="18"/>
                <w:szCs w:val="18"/>
              </w:rPr>
            </w:pPr>
            <w:r w:rsidRPr="00FB655B">
              <w:rPr>
                <w:rFonts w:cstheme="minorHAnsi"/>
                <w:sz w:val="18"/>
                <w:szCs w:val="18"/>
              </w:rPr>
              <w:lastRenderedPageBreak/>
              <w:t xml:space="preserve">La Secretaría Regional Ministerial de Vivienda y Urbanismo verificará que las construcciones cumplen con las disposiciones pertinentes del respectivo </w:t>
            </w:r>
            <w:r w:rsidRPr="00FB655B">
              <w:rPr>
                <w:rFonts w:cstheme="minorHAnsi"/>
                <w:sz w:val="18"/>
                <w:szCs w:val="18"/>
              </w:rPr>
              <w:lastRenderedPageBreak/>
              <w:t xml:space="preserve">Instrumento de Planificación Territorial y en el informe favorable se pronunciará acerca de la dotación de servicios de agua potable, alcantarillado y electricidad que proponga el interesado. Para estos efectos, el interesado deberá presentar una memoria explicativa junto con un anteproyecto de edificación, conforme al artículo 5.1.5. de esta Ordenanza. La Secretaría Regional Ministerial respectiva evacuará su informe dentro de 30 días, contados desde el ingreso de la solicitud. El Servicio Agrícola y Ganadero emitirá su informe de acuerdo a la normativa vigente en la materia. </w:t>
            </w:r>
          </w:p>
          <w:p w14:paraId="523867C7" w14:textId="77777777" w:rsidR="000168F5" w:rsidRPr="00FB655B" w:rsidRDefault="000168F5" w:rsidP="000168F5">
            <w:pPr>
              <w:pStyle w:val="Prrafodelista"/>
              <w:autoSpaceDE w:val="0"/>
              <w:autoSpaceDN w:val="0"/>
              <w:adjustRightInd w:val="0"/>
              <w:ind w:left="306"/>
              <w:jc w:val="both"/>
              <w:rPr>
                <w:rFonts w:cstheme="minorHAnsi"/>
                <w:sz w:val="18"/>
                <w:szCs w:val="18"/>
              </w:rPr>
            </w:pPr>
          </w:p>
        </w:tc>
        <w:tc>
          <w:tcPr>
            <w:tcW w:w="4212" w:type="dxa"/>
          </w:tcPr>
          <w:p w14:paraId="58F21E06" w14:textId="77777777" w:rsidR="000168F5" w:rsidRPr="00FB655B" w:rsidRDefault="000168F5" w:rsidP="000168F5">
            <w:pPr>
              <w:rPr>
                <w:rFonts w:cstheme="minorHAnsi"/>
                <w:sz w:val="18"/>
                <w:szCs w:val="18"/>
              </w:rPr>
            </w:pPr>
          </w:p>
        </w:tc>
      </w:tr>
      <w:tr w:rsidR="000168F5" w:rsidRPr="00FB655B" w14:paraId="6661F8C6" w14:textId="77777777" w:rsidTr="008C019A">
        <w:tc>
          <w:tcPr>
            <w:tcW w:w="4332" w:type="dxa"/>
          </w:tcPr>
          <w:p w14:paraId="74A8DE82" w14:textId="77777777" w:rsidR="000168F5" w:rsidRPr="00FB655B" w:rsidRDefault="000168F5" w:rsidP="000168F5">
            <w:pPr>
              <w:pStyle w:val="Prrafodelista"/>
              <w:autoSpaceDE w:val="0"/>
              <w:autoSpaceDN w:val="0"/>
              <w:adjustRightInd w:val="0"/>
              <w:ind w:left="306"/>
              <w:jc w:val="both"/>
              <w:rPr>
                <w:rFonts w:cstheme="minorHAnsi"/>
                <w:sz w:val="18"/>
                <w:szCs w:val="18"/>
              </w:rPr>
            </w:pPr>
            <w:r w:rsidRPr="00FB655B">
              <w:rPr>
                <w:rFonts w:cstheme="minorHAnsi"/>
                <w:sz w:val="18"/>
                <w:szCs w:val="18"/>
              </w:rPr>
              <w:t>La obtención del permiso de la Dirección de Obras Municipales se sujetará a lo dispuesto en los artículos 118 y 130 de la Ley General de Urbanismo y Construcciones, y en los artículos 1.4.9., 3.1.8. y 5.1.14. de esta Ordenanza</w:t>
            </w:r>
          </w:p>
        </w:tc>
        <w:tc>
          <w:tcPr>
            <w:tcW w:w="4452" w:type="dxa"/>
          </w:tcPr>
          <w:p w14:paraId="0D6D11EC" w14:textId="77777777" w:rsidR="000168F5" w:rsidRDefault="000168F5" w:rsidP="000168F5">
            <w:pPr>
              <w:pStyle w:val="Prrafodelista"/>
              <w:autoSpaceDE w:val="0"/>
              <w:autoSpaceDN w:val="0"/>
              <w:adjustRightInd w:val="0"/>
              <w:ind w:left="306"/>
              <w:jc w:val="both"/>
              <w:rPr>
                <w:rFonts w:cstheme="minorHAnsi"/>
                <w:sz w:val="18"/>
                <w:szCs w:val="18"/>
              </w:rPr>
            </w:pPr>
            <w:r w:rsidRPr="00FB655B">
              <w:rPr>
                <w:rFonts w:cstheme="minorHAnsi"/>
                <w:sz w:val="18"/>
                <w:szCs w:val="18"/>
              </w:rPr>
              <w:t>La obtención del permiso de la Dirección de Obras Municipales se sujetará a lo dispuesto en los artículos 118 y 130 de la Ley General de Urbanismo y Construcciones, y en los artículos 1.4.9., 3.1.8. y 5.1.14. de esta Ordenanza</w:t>
            </w:r>
          </w:p>
          <w:p w14:paraId="2C554568" w14:textId="77777777" w:rsidR="00FB655B" w:rsidRPr="00FB655B" w:rsidRDefault="00FB655B" w:rsidP="000168F5">
            <w:pPr>
              <w:pStyle w:val="Prrafodelista"/>
              <w:autoSpaceDE w:val="0"/>
              <w:autoSpaceDN w:val="0"/>
              <w:adjustRightInd w:val="0"/>
              <w:ind w:left="306"/>
              <w:jc w:val="both"/>
              <w:rPr>
                <w:rFonts w:cstheme="minorHAnsi"/>
                <w:sz w:val="18"/>
                <w:szCs w:val="18"/>
              </w:rPr>
            </w:pPr>
          </w:p>
        </w:tc>
        <w:tc>
          <w:tcPr>
            <w:tcW w:w="4212" w:type="dxa"/>
          </w:tcPr>
          <w:p w14:paraId="5E5462DF" w14:textId="77777777" w:rsidR="000168F5" w:rsidRPr="00FB655B" w:rsidRDefault="000168F5" w:rsidP="000168F5">
            <w:pPr>
              <w:rPr>
                <w:rFonts w:cstheme="minorHAnsi"/>
                <w:sz w:val="18"/>
                <w:szCs w:val="18"/>
              </w:rPr>
            </w:pPr>
          </w:p>
        </w:tc>
      </w:tr>
      <w:tr w:rsidR="00BD6F05" w:rsidRPr="00FB655B" w14:paraId="71679789" w14:textId="77777777" w:rsidTr="008C019A">
        <w:tc>
          <w:tcPr>
            <w:tcW w:w="4332" w:type="dxa"/>
          </w:tcPr>
          <w:p w14:paraId="0EEF8574" w14:textId="77777777" w:rsidR="00BD6F05" w:rsidRPr="00324029" w:rsidRDefault="00BD6F05" w:rsidP="00137DF6">
            <w:pPr>
              <w:pStyle w:val="Prrafodelista"/>
              <w:autoSpaceDE w:val="0"/>
              <w:autoSpaceDN w:val="0"/>
              <w:adjustRightInd w:val="0"/>
              <w:ind w:left="306"/>
              <w:jc w:val="center"/>
              <w:rPr>
                <w:rFonts w:cstheme="minorHAnsi"/>
                <w:b/>
                <w:bCs/>
                <w:sz w:val="18"/>
                <w:szCs w:val="18"/>
              </w:rPr>
            </w:pPr>
          </w:p>
        </w:tc>
        <w:tc>
          <w:tcPr>
            <w:tcW w:w="4452" w:type="dxa"/>
          </w:tcPr>
          <w:p w14:paraId="7423DF05" w14:textId="77777777" w:rsidR="00BD6F05" w:rsidRPr="00D1617F" w:rsidRDefault="00BB2E0E" w:rsidP="00D07BDD">
            <w:pPr>
              <w:tabs>
                <w:tab w:val="left" w:pos="1657"/>
              </w:tabs>
              <w:ind w:left="239"/>
              <w:jc w:val="both"/>
              <w:rPr>
                <w:rFonts w:cstheme="minorHAnsi"/>
                <w:color w:val="FF0000"/>
                <w:sz w:val="18"/>
                <w:szCs w:val="18"/>
              </w:rPr>
            </w:pPr>
            <w:r w:rsidRPr="00D1617F">
              <w:rPr>
                <w:rFonts w:cstheme="minorHAnsi"/>
                <w:b/>
                <w:color w:val="FF0000"/>
                <w:sz w:val="18"/>
                <w:szCs w:val="18"/>
              </w:rPr>
              <w:t>Artículo 2.1.19. Bis:</w:t>
            </w:r>
            <w:r w:rsidRPr="00D1617F">
              <w:rPr>
                <w:rFonts w:cstheme="minorHAnsi"/>
                <w:b/>
                <w:color w:val="FF0000"/>
                <w:sz w:val="18"/>
                <w:szCs w:val="18"/>
              </w:rPr>
              <w:tab/>
            </w:r>
            <w:r w:rsidRPr="00D1617F">
              <w:rPr>
                <w:rFonts w:cstheme="minorHAnsi"/>
                <w:color w:val="FF0000"/>
                <w:sz w:val="18"/>
                <w:szCs w:val="18"/>
              </w:rPr>
              <w:t>Las subdivisiones de predios ubicados en el área rural, al interior de los límites de los Planes Reguladores Metropolitanos de Santiago, Valparaíso y Concepción, con fines diversos a los del artículo 55 de la Ley General de Urbanismo y Construcciones, esto es, aquellas subdivisiones necesarias para la explotación agrícola del inmueble, requerirán la certificación respecto al cumplimiento de la superficie de subdivisión predial mínima por parte de la respectiva Secretaría Regional Ministerial de Vivienda y Urbanismo, debiendo cautelar que dichas subdivisiones no origen nuevos núcleos urbanos al margen de la planificación urbana intercomunal. Los predios resultantes de estas subdivisiones quedarán sujetos a las prohibiciones y excepciones que establece el artículo 55 de la Ley General de Urbanismo y Construcciones.</w:t>
            </w:r>
          </w:p>
          <w:p w14:paraId="1447B5CC" w14:textId="77777777" w:rsidR="00BB2E0E" w:rsidRDefault="00BB2E0E" w:rsidP="00D07BDD">
            <w:pPr>
              <w:tabs>
                <w:tab w:val="left" w:pos="1657"/>
              </w:tabs>
              <w:ind w:left="239"/>
              <w:jc w:val="both"/>
              <w:rPr>
                <w:rFonts w:cstheme="minorHAnsi"/>
                <w:sz w:val="18"/>
                <w:szCs w:val="18"/>
              </w:rPr>
            </w:pPr>
          </w:p>
          <w:p w14:paraId="15DF68F1" w14:textId="4DDF8D97" w:rsidR="002F18DD" w:rsidRPr="00324029" w:rsidRDefault="002F18DD" w:rsidP="00D07BDD">
            <w:pPr>
              <w:tabs>
                <w:tab w:val="left" w:pos="1657"/>
              </w:tabs>
              <w:ind w:left="239"/>
              <w:jc w:val="both"/>
              <w:rPr>
                <w:rFonts w:cstheme="minorHAnsi"/>
                <w:sz w:val="18"/>
                <w:szCs w:val="18"/>
              </w:rPr>
            </w:pPr>
          </w:p>
        </w:tc>
        <w:tc>
          <w:tcPr>
            <w:tcW w:w="4212" w:type="dxa"/>
          </w:tcPr>
          <w:p w14:paraId="36C9A910" w14:textId="77777777" w:rsidR="00BD6F05" w:rsidRPr="00BB2E0E" w:rsidRDefault="00BD6F05" w:rsidP="00BB2E0E">
            <w:pPr>
              <w:jc w:val="both"/>
              <w:rPr>
                <w:rFonts w:cstheme="minorHAnsi"/>
                <w:sz w:val="18"/>
                <w:szCs w:val="18"/>
              </w:rPr>
            </w:pPr>
          </w:p>
        </w:tc>
      </w:tr>
      <w:tr w:rsidR="000168F5" w:rsidRPr="00FB655B" w14:paraId="3DEC72AF" w14:textId="77777777" w:rsidTr="008C019A">
        <w:tc>
          <w:tcPr>
            <w:tcW w:w="4332" w:type="dxa"/>
          </w:tcPr>
          <w:p w14:paraId="0664D032" w14:textId="77777777" w:rsidR="00BD6F05" w:rsidRPr="00324029" w:rsidRDefault="000168F5" w:rsidP="000168F5">
            <w:pPr>
              <w:pStyle w:val="Prrafodelista"/>
              <w:autoSpaceDE w:val="0"/>
              <w:autoSpaceDN w:val="0"/>
              <w:adjustRightInd w:val="0"/>
              <w:ind w:left="306"/>
              <w:jc w:val="both"/>
              <w:rPr>
                <w:rFonts w:cstheme="minorHAnsi"/>
                <w:b/>
                <w:bCs/>
                <w:sz w:val="18"/>
                <w:szCs w:val="18"/>
              </w:rPr>
            </w:pPr>
            <w:r w:rsidRPr="00324029">
              <w:rPr>
                <w:rFonts w:cstheme="minorHAnsi"/>
                <w:b/>
                <w:bCs/>
                <w:sz w:val="18"/>
                <w:szCs w:val="18"/>
              </w:rPr>
              <w:lastRenderedPageBreak/>
              <w:t xml:space="preserve">Artículo 5.1.6. </w:t>
            </w:r>
          </w:p>
          <w:p w14:paraId="38D25205" w14:textId="777337A0" w:rsidR="000168F5" w:rsidRPr="00324029" w:rsidRDefault="000168F5" w:rsidP="00BD6F05">
            <w:pPr>
              <w:pStyle w:val="Prrafodelista"/>
              <w:autoSpaceDE w:val="0"/>
              <w:autoSpaceDN w:val="0"/>
              <w:adjustRightInd w:val="0"/>
              <w:ind w:left="306"/>
              <w:jc w:val="both"/>
              <w:rPr>
                <w:rFonts w:cstheme="minorHAnsi"/>
                <w:b/>
                <w:bCs/>
                <w:sz w:val="18"/>
                <w:szCs w:val="18"/>
              </w:rPr>
            </w:pPr>
            <w:r w:rsidRPr="00324029">
              <w:rPr>
                <w:rFonts w:cstheme="minorHAnsi"/>
                <w:b/>
                <w:bCs/>
                <w:sz w:val="18"/>
                <w:szCs w:val="18"/>
              </w:rPr>
              <w:t>(</w:t>
            </w:r>
            <w:r w:rsidR="00BD6F05" w:rsidRPr="00324029">
              <w:rPr>
                <w:rFonts w:cstheme="minorHAnsi"/>
                <w:b/>
                <w:bCs/>
                <w:sz w:val="18"/>
                <w:szCs w:val="18"/>
              </w:rPr>
              <w:t xml:space="preserve">modifica </w:t>
            </w:r>
            <w:r w:rsidRPr="00324029">
              <w:rPr>
                <w:rFonts w:cstheme="minorHAnsi"/>
                <w:b/>
                <w:bCs/>
                <w:sz w:val="18"/>
                <w:szCs w:val="18"/>
              </w:rPr>
              <w:t>inciso quinto)</w:t>
            </w:r>
          </w:p>
          <w:p w14:paraId="0384CC36" w14:textId="77777777" w:rsidR="00BD6F05" w:rsidRPr="00324029" w:rsidRDefault="00BD6F05" w:rsidP="00BD6F05">
            <w:pPr>
              <w:pStyle w:val="Prrafodelista"/>
              <w:autoSpaceDE w:val="0"/>
              <w:autoSpaceDN w:val="0"/>
              <w:adjustRightInd w:val="0"/>
              <w:ind w:left="306"/>
              <w:jc w:val="both"/>
              <w:rPr>
                <w:rFonts w:cstheme="minorHAnsi"/>
                <w:b/>
                <w:bCs/>
                <w:sz w:val="18"/>
                <w:szCs w:val="18"/>
              </w:rPr>
            </w:pPr>
          </w:p>
          <w:p w14:paraId="71F42C93" w14:textId="7D0AE424" w:rsidR="00BD6F05" w:rsidRPr="00324029" w:rsidRDefault="00BD6F05" w:rsidP="00BD6F05">
            <w:pPr>
              <w:pStyle w:val="Prrafodelista"/>
              <w:autoSpaceDE w:val="0"/>
              <w:autoSpaceDN w:val="0"/>
              <w:adjustRightInd w:val="0"/>
              <w:ind w:left="306" w:firstLine="850"/>
              <w:jc w:val="both"/>
              <w:rPr>
                <w:rFonts w:cstheme="minorHAnsi"/>
                <w:sz w:val="18"/>
                <w:szCs w:val="18"/>
              </w:rPr>
            </w:pPr>
            <w:r w:rsidRPr="00324029">
              <w:rPr>
                <w:rFonts w:cstheme="minorHAnsi"/>
                <w:sz w:val="18"/>
                <w:szCs w:val="18"/>
              </w:rPr>
              <w:t>Las solicitudes de permiso de edificación de las construcciones industriales, de equipamiento, turismo y poblaciones, ubicadas fuera de los límites urbanos, deberán acompañar además de los antecedentes que señala este artículo, los informes favorables de la Secretaría Regional del Ministerio de Vivienda y Urbanismo y del Servicio Agrícola</w:t>
            </w:r>
          </w:p>
          <w:p w14:paraId="0C049636" w14:textId="3F5EEA5B" w:rsidR="00BD6F05" w:rsidRPr="00324029" w:rsidRDefault="00BD6F05" w:rsidP="00BD6F05">
            <w:pPr>
              <w:pStyle w:val="Prrafodelista"/>
              <w:autoSpaceDE w:val="0"/>
              <w:autoSpaceDN w:val="0"/>
              <w:adjustRightInd w:val="0"/>
              <w:ind w:left="306"/>
              <w:jc w:val="both"/>
              <w:rPr>
                <w:rFonts w:cstheme="minorHAnsi"/>
                <w:sz w:val="18"/>
                <w:szCs w:val="18"/>
              </w:rPr>
            </w:pPr>
            <w:r w:rsidRPr="00324029">
              <w:rPr>
                <w:rFonts w:cstheme="minorHAnsi"/>
                <w:sz w:val="18"/>
                <w:szCs w:val="18"/>
              </w:rPr>
              <w:t>Ganadero.</w:t>
            </w:r>
          </w:p>
        </w:tc>
        <w:tc>
          <w:tcPr>
            <w:tcW w:w="4452" w:type="dxa"/>
          </w:tcPr>
          <w:p w14:paraId="0D0698A5" w14:textId="0F6BC781" w:rsidR="00BD6F05" w:rsidRPr="00324029" w:rsidRDefault="00BD6F05" w:rsidP="000168F5">
            <w:pPr>
              <w:ind w:left="239"/>
              <w:jc w:val="both"/>
              <w:rPr>
                <w:rFonts w:cstheme="minorHAnsi"/>
                <w:sz w:val="18"/>
                <w:szCs w:val="18"/>
              </w:rPr>
            </w:pPr>
          </w:p>
          <w:p w14:paraId="50AB6DA2" w14:textId="4FFCAA94" w:rsidR="000168F5" w:rsidRDefault="00BD6F05" w:rsidP="00E5645C">
            <w:pPr>
              <w:pStyle w:val="Prrafodelista"/>
              <w:autoSpaceDE w:val="0"/>
              <w:autoSpaceDN w:val="0"/>
              <w:adjustRightInd w:val="0"/>
              <w:ind w:left="306" w:firstLine="850"/>
              <w:jc w:val="both"/>
              <w:rPr>
                <w:rFonts w:cstheme="minorHAnsi"/>
                <w:sz w:val="18"/>
                <w:szCs w:val="18"/>
              </w:rPr>
            </w:pPr>
            <w:r w:rsidRPr="00324029">
              <w:rPr>
                <w:rFonts w:cstheme="minorHAnsi"/>
                <w:sz w:val="18"/>
                <w:szCs w:val="18"/>
              </w:rPr>
              <w:t xml:space="preserve">Las solicitudes de permiso de edificación de las construcciones </w:t>
            </w:r>
            <w:r w:rsidRPr="00D1617F">
              <w:rPr>
                <w:rFonts w:cstheme="minorHAnsi"/>
                <w:strike/>
                <w:color w:val="FF0000"/>
                <w:sz w:val="18"/>
                <w:szCs w:val="18"/>
              </w:rPr>
              <w:t xml:space="preserve">industriales, de equipamiento, turismo y poblaciones, </w:t>
            </w:r>
            <w:r w:rsidRPr="00324029">
              <w:rPr>
                <w:rFonts w:cstheme="minorHAnsi"/>
                <w:sz w:val="18"/>
                <w:szCs w:val="18"/>
              </w:rPr>
              <w:t xml:space="preserve">ubicadas fuera de los límites urbanos </w:t>
            </w:r>
            <w:r w:rsidRPr="00D1617F">
              <w:rPr>
                <w:rFonts w:cstheme="minorHAnsi"/>
                <w:color w:val="FF0000"/>
                <w:sz w:val="18"/>
                <w:szCs w:val="18"/>
              </w:rPr>
              <w:t>establecidos en los Instrumentos de Planificación Territorial</w:t>
            </w:r>
            <w:r w:rsidRPr="00324029">
              <w:rPr>
                <w:rFonts w:cstheme="minorHAnsi"/>
                <w:sz w:val="18"/>
                <w:szCs w:val="18"/>
              </w:rPr>
              <w:t xml:space="preserve">, deberán </w:t>
            </w:r>
            <w:r w:rsidR="00137DF6" w:rsidRPr="00D1617F">
              <w:rPr>
                <w:rFonts w:cstheme="minorHAnsi"/>
                <w:color w:val="FF0000"/>
                <w:sz w:val="18"/>
                <w:szCs w:val="18"/>
              </w:rPr>
              <w:t xml:space="preserve">dar cumplimiento a lo dispuesto en el artículo 55 de la Ley General de Urbanismo y Construcciones, debiendo adjuntar </w:t>
            </w:r>
            <w:r w:rsidRPr="00D1617F">
              <w:rPr>
                <w:rFonts w:cstheme="minorHAnsi"/>
                <w:strike/>
                <w:color w:val="FF0000"/>
                <w:sz w:val="18"/>
                <w:szCs w:val="18"/>
              </w:rPr>
              <w:t>acompañar además de los antecedentes que señala este artículo,</w:t>
            </w:r>
            <w:r w:rsidRPr="00D1617F">
              <w:rPr>
                <w:rFonts w:cstheme="minorHAnsi"/>
                <w:color w:val="FF0000"/>
                <w:sz w:val="18"/>
                <w:szCs w:val="18"/>
              </w:rPr>
              <w:t xml:space="preserve"> </w:t>
            </w:r>
            <w:r w:rsidRPr="00324029">
              <w:rPr>
                <w:rFonts w:cstheme="minorHAnsi"/>
                <w:sz w:val="18"/>
                <w:szCs w:val="18"/>
              </w:rPr>
              <w:t>los</w:t>
            </w:r>
            <w:r w:rsidR="00137DF6" w:rsidRPr="00324029">
              <w:rPr>
                <w:rFonts w:cstheme="minorHAnsi"/>
                <w:sz w:val="18"/>
                <w:szCs w:val="18"/>
              </w:rPr>
              <w:t xml:space="preserve"> </w:t>
            </w:r>
            <w:r w:rsidR="00137DF6" w:rsidRPr="00D1617F">
              <w:rPr>
                <w:rFonts w:cstheme="minorHAnsi"/>
                <w:color w:val="FF0000"/>
                <w:sz w:val="18"/>
                <w:szCs w:val="18"/>
              </w:rPr>
              <w:t>documentos y las autorizaciones o</w:t>
            </w:r>
            <w:r w:rsidRPr="00D1617F">
              <w:rPr>
                <w:rFonts w:cstheme="minorHAnsi"/>
                <w:color w:val="FF0000"/>
                <w:sz w:val="18"/>
                <w:szCs w:val="18"/>
              </w:rPr>
              <w:t xml:space="preserve"> </w:t>
            </w:r>
            <w:r w:rsidRPr="00324029">
              <w:rPr>
                <w:rFonts w:cstheme="minorHAnsi"/>
                <w:sz w:val="18"/>
                <w:szCs w:val="18"/>
              </w:rPr>
              <w:t xml:space="preserve">informes </w:t>
            </w:r>
            <w:r w:rsidRPr="00D1617F">
              <w:rPr>
                <w:rFonts w:cstheme="minorHAnsi"/>
                <w:strike/>
                <w:color w:val="FF0000"/>
                <w:sz w:val="18"/>
                <w:szCs w:val="18"/>
              </w:rPr>
              <w:t>favorables de la Secretaría Regional del Ministerio de Vivienda y Urbanismo y del Servicio Agrícola</w:t>
            </w:r>
            <w:r w:rsidR="00137DF6" w:rsidRPr="00D1617F">
              <w:rPr>
                <w:rFonts w:cstheme="minorHAnsi"/>
                <w:strike/>
                <w:color w:val="FF0000"/>
                <w:sz w:val="18"/>
                <w:szCs w:val="18"/>
              </w:rPr>
              <w:t xml:space="preserve"> </w:t>
            </w:r>
            <w:r w:rsidRPr="00D1617F">
              <w:rPr>
                <w:rFonts w:cstheme="minorHAnsi"/>
                <w:strike/>
                <w:color w:val="FF0000"/>
                <w:sz w:val="18"/>
                <w:szCs w:val="18"/>
              </w:rPr>
              <w:t>Ganadero</w:t>
            </w:r>
            <w:r w:rsidR="00D1617F">
              <w:rPr>
                <w:rFonts w:cstheme="minorHAnsi"/>
                <w:color w:val="FF0000"/>
                <w:sz w:val="18"/>
                <w:szCs w:val="18"/>
              </w:rPr>
              <w:t xml:space="preserve"> </w:t>
            </w:r>
            <w:r w:rsidR="00137DF6" w:rsidRPr="00D1617F">
              <w:rPr>
                <w:rFonts w:cstheme="minorHAnsi"/>
                <w:color w:val="FF0000"/>
                <w:sz w:val="18"/>
                <w:szCs w:val="18"/>
              </w:rPr>
              <w:t>que correspondan</w:t>
            </w:r>
            <w:r w:rsidRPr="00324029">
              <w:rPr>
                <w:rFonts w:cstheme="minorHAnsi"/>
                <w:sz w:val="18"/>
                <w:szCs w:val="18"/>
              </w:rPr>
              <w:t>.</w:t>
            </w:r>
            <w:r w:rsidR="00A74646" w:rsidRPr="00324029">
              <w:rPr>
                <w:rFonts w:cstheme="minorHAnsi"/>
                <w:sz w:val="18"/>
                <w:szCs w:val="18"/>
              </w:rPr>
              <w:t xml:space="preserve"> </w:t>
            </w:r>
          </w:p>
          <w:p w14:paraId="44880A59" w14:textId="389BEBA2" w:rsidR="002F18DD" w:rsidRPr="00324029" w:rsidRDefault="002F18DD" w:rsidP="00E5645C">
            <w:pPr>
              <w:pStyle w:val="Prrafodelista"/>
              <w:autoSpaceDE w:val="0"/>
              <w:autoSpaceDN w:val="0"/>
              <w:adjustRightInd w:val="0"/>
              <w:ind w:left="306" w:firstLine="850"/>
              <w:jc w:val="both"/>
              <w:rPr>
                <w:rFonts w:cstheme="minorHAnsi"/>
                <w:sz w:val="18"/>
                <w:szCs w:val="18"/>
              </w:rPr>
            </w:pPr>
          </w:p>
        </w:tc>
        <w:tc>
          <w:tcPr>
            <w:tcW w:w="4212" w:type="dxa"/>
          </w:tcPr>
          <w:p w14:paraId="3201CA74" w14:textId="2C0BB4E6" w:rsidR="002815BC" w:rsidRPr="00FB655B" w:rsidRDefault="002815BC" w:rsidP="002815BC">
            <w:pPr>
              <w:pStyle w:val="Prrafodelista"/>
              <w:numPr>
                <w:ilvl w:val="0"/>
                <w:numId w:val="12"/>
              </w:numPr>
              <w:ind w:left="320" w:hanging="320"/>
              <w:jc w:val="both"/>
              <w:rPr>
                <w:rFonts w:cstheme="minorHAnsi"/>
                <w:sz w:val="18"/>
                <w:szCs w:val="18"/>
              </w:rPr>
            </w:pPr>
            <w:r w:rsidRPr="00FB655B">
              <w:rPr>
                <w:rFonts w:cstheme="minorHAnsi"/>
                <w:sz w:val="18"/>
                <w:szCs w:val="18"/>
              </w:rPr>
              <w:t xml:space="preserve">El reemplazo del inciso quinto está incluido en el </w:t>
            </w:r>
            <w:r w:rsidR="006E6DFD">
              <w:rPr>
                <w:rFonts w:cstheme="minorHAnsi"/>
                <w:sz w:val="18"/>
                <w:szCs w:val="18"/>
              </w:rPr>
              <w:t>D.S. N° 07 de 17.02.2022</w:t>
            </w:r>
            <w:r w:rsidRPr="00FB655B">
              <w:rPr>
                <w:rFonts w:cstheme="minorHAnsi"/>
                <w:sz w:val="18"/>
                <w:szCs w:val="18"/>
              </w:rPr>
              <w:t xml:space="preserve"> (actualmente en</w:t>
            </w:r>
            <w:r w:rsidR="006E6DFD">
              <w:rPr>
                <w:rFonts w:cstheme="minorHAnsi"/>
                <w:sz w:val="18"/>
                <w:szCs w:val="18"/>
              </w:rPr>
              <w:t xml:space="preserve"> Trámite de Toma de Razón en</w:t>
            </w:r>
            <w:r w:rsidRPr="00FB655B">
              <w:rPr>
                <w:rFonts w:cstheme="minorHAnsi"/>
                <w:sz w:val="18"/>
                <w:szCs w:val="18"/>
              </w:rPr>
              <w:t xml:space="preserve"> Contraloría</w:t>
            </w:r>
            <w:r w:rsidR="006E6DFD">
              <w:rPr>
                <w:rFonts w:cstheme="minorHAnsi"/>
                <w:sz w:val="18"/>
                <w:szCs w:val="18"/>
              </w:rPr>
              <w:t xml:space="preserve"> General de la República</w:t>
            </w:r>
            <w:r w:rsidRPr="00FB655B">
              <w:rPr>
                <w:rFonts w:cstheme="minorHAnsi"/>
                <w:sz w:val="18"/>
                <w:szCs w:val="18"/>
              </w:rPr>
              <w:t xml:space="preserve">), pero se agrega </w:t>
            </w:r>
            <w:r w:rsidR="006E6DFD">
              <w:rPr>
                <w:rFonts w:cstheme="minorHAnsi"/>
                <w:sz w:val="18"/>
                <w:szCs w:val="18"/>
              </w:rPr>
              <w:t>en la presente propuesta</w:t>
            </w:r>
            <w:r w:rsidR="006E6DFD" w:rsidRPr="00FB655B">
              <w:rPr>
                <w:rFonts w:cstheme="minorHAnsi"/>
                <w:sz w:val="18"/>
                <w:szCs w:val="18"/>
              </w:rPr>
              <w:t xml:space="preserve"> </w:t>
            </w:r>
            <w:r w:rsidR="002F18DD">
              <w:rPr>
                <w:rFonts w:cstheme="minorHAnsi"/>
                <w:sz w:val="18"/>
                <w:szCs w:val="18"/>
              </w:rPr>
              <w:t>por</w:t>
            </w:r>
            <w:r w:rsidR="008C5C6C">
              <w:rPr>
                <w:rFonts w:cstheme="minorHAnsi"/>
                <w:sz w:val="18"/>
                <w:szCs w:val="18"/>
              </w:rPr>
              <w:t xml:space="preserve"> cuanto éste último aún no se encuentra totalmente tramitado</w:t>
            </w:r>
            <w:r w:rsidR="002F18DD">
              <w:rPr>
                <w:rFonts w:cstheme="minorHAnsi"/>
                <w:sz w:val="18"/>
                <w:szCs w:val="18"/>
              </w:rPr>
              <w:t>.</w:t>
            </w:r>
            <w:r w:rsidRPr="00FB655B">
              <w:rPr>
                <w:rFonts w:cstheme="minorHAnsi"/>
                <w:sz w:val="18"/>
                <w:szCs w:val="18"/>
              </w:rPr>
              <w:t xml:space="preserve"> </w:t>
            </w:r>
          </w:p>
          <w:p w14:paraId="09C0A0FB" w14:textId="77777777" w:rsidR="000168F5" w:rsidRPr="00FB655B" w:rsidRDefault="000168F5" w:rsidP="000168F5">
            <w:pPr>
              <w:rPr>
                <w:rFonts w:cstheme="minorHAnsi"/>
                <w:sz w:val="18"/>
                <w:szCs w:val="18"/>
              </w:rPr>
            </w:pPr>
            <w:bookmarkStart w:id="0" w:name="_GoBack"/>
            <w:bookmarkEnd w:id="0"/>
          </w:p>
        </w:tc>
      </w:tr>
      <w:tr w:rsidR="000168F5" w:rsidRPr="00FB655B" w14:paraId="4446FEA3" w14:textId="77777777" w:rsidTr="008C019A">
        <w:tc>
          <w:tcPr>
            <w:tcW w:w="4332" w:type="dxa"/>
          </w:tcPr>
          <w:p w14:paraId="6B556962" w14:textId="77777777" w:rsidR="00BD6F05" w:rsidRPr="00324029" w:rsidRDefault="00BD6F05" w:rsidP="00BD6F05">
            <w:pPr>
              <w:pStyle w:val="Prrafodelista"/>
              <w:autoSpaceDE w:val="0"/>
              <w:autoSpaceDN w:val="0"/>
              <w:adjustRightInd w:val="0"/>
              <w:ind w:left="306"/>
              <w:jc w:val="both"/>
              <w:rPr>
                <w:rFonts w:cstheme="minorHAnsi"/>
                <w:b/>
                <w:bCs/>
                <w:sz w:val="18"/>
                <w:szCs w:val="18"/>
              </w:rPr>
            </w:pPr>
            <w:r w:rsidRPr="00324029">
              <w:rPr>
                <w:rFonts w:cstheme="minorHAnsi"/>
                <w:b/>
                <w:bCs/>
                <w:sz w:val="18"/>
                <w:szCs w:val="18"/>
              </w:rPr>
              <w:t xml:space="preserve">Artículo 5.1.6. </w:t>
            </w:r>
          </w:p>
          <w:p w14:paraId="46B8B69C" w14:textId="374248A1" w:rsidR="00BD6F05" w:rsidRDefault="00BD6F05" w:rsidP="00BD6F05">
            <w:pPr>
              <w:pStyle w:val="Prrafodelista"/>
              <w:autoSpaceDE w:val="0"/>
              <w:autoSpaceDN w:val="0"/>
              <w:adjustRightInd w:val="0"/>
              <w:ind w:left="306"/>
              <w:jc w:val="both"/>
              <w:rPr>
                <w:rFonts w:cstheme="minorHAnsi"/>
                <w:b/>
                <w:bCs/>
                <w:sz w:val="18"/>
                <w:szCs w:val="18"/>
              </w:rPr>
            </w:pPr>
            <w:r w:rsidRPr="00324029">
              <w:rPr>
                <w:rFonts w:cstheme="minorHAnsi"/>
                <w:b/>
                <w:bCs/>
                <w:sz w:val="18"/>
                <w:szCs w:val="18"/>
              </w:rPr>
              <w:t>(intercala nuevo inciso sexto)</w:t>
            </w:r>
          </w:p>
          <w:p w14:paraId="2F281424" w14:textId="77777777" w:rsidR="000168F5" w:rsidRDefault="000168F5" w:rsidP="00E5645C">
            <w:pPr>
              <w:pStyle w:val="Prrafodelista"/>
              <w:autoSpaceDE w:val="0"/>
              <w:autoSpaceDN w:val="0"/>
              <w:adjustRightInd w:val="0"/>
              <w:ind w:left="306"/>
              <w:jc w:val="center"/>
              <w:rPr>
                <w:rFonts w:cstheme="minorHAnsi"/>
                <w:sz w:val="18"/>
                <w:szCs w:val="18"/>
              </w:rPr>
            </w:pPr>
          </w:p>
          <w:p w14:paraId="2F546224" w14:textId="77777777" w:rsidR="00E5645C" w:rsidRDefault="00E5645C" w:rsidP="00E5645C">
            <w:pPr>
              <w:pStyle w:val="Prrafodelista"/>
              <w:autoSpaceDE w:val="0"/>
              <w:autoSpaceDN w:val="0"/>
              <w:adjustRightInd w:val="0"/>
              <w:ind w:left="306"/>
              <w:jc w:val="center"/>
              <w:rPr>
                <w:rFonts w:cstheme="minorHAnsi"/>
                <w:sz w:val="18"/>
                <w:szCs w:val="18"/>
              </w:rPr>
            </w:pPr>
          </w:p>
          <w:p w14:paraId="353B939C" w14:textId="77777777" w:rsidR="00E5645C" w:rsidRDefault="00E5645C" w:rsidP="00E5645C">
            <w:pPr>
              <w:pStyle w:val="Prrafodelista"/>
              <w:autoSpaceDE w:val="0"/>
              <w:autoSpaceDN w:val="0"/>
              <w:adjustRightInd w:val="0"/>
              <w:ind w:left="306"/>
              <w:jc w:val="center"/>
              <w:rPr>
                <w:rFonts w:cstheme="minorHAnsi"/>
                <w:sz w:val="18"/>
                <w:szCs w:val="18"/>
              </w:rPr>
            </w:pPr>
          </w:p>
          <w:p w14:paraId="4C2490E8" w14:textId="77777777" w:rsidR="00E5645C" w:rsidRDefault="00E5645C" w:rsidP="00E5645C">
            <w:pPr>
              <w:pStyle w:val="Prrafodelista"/>
              <w:autoSpaceDE w:val="0"/>
              <w:autoSpaceDN w:val="0"/>
              <w:adjustRightInd w:val="0"/>
              <w:ind w:left="306"/>
              <w:jc w:val="center"/>
              <w:rPr>
                <w:rFonts w:cstheme="minorHAnsi"/>
                <w:sz w:val="18"/>
                <w:szCs w:val="18"/>
              </w:rPr>
            </w:pPr>
          </w:p>
          <w:p w14:paraId="46DC2A25" w14:textId="77777777" w:rsidR="00E5645C" w:rsidRDefault="00E5645C" w:rsidP="00E5645C">
            <w:pPr>
              <w:pStyle w:val="Prrafodelista"/>
              <w:autoSpaceDE w:val="0"/>
              <w:autoSpaceDN w:val="0"/>
              <w:adjustRightInd w:val="0"/>
              <w:ind w:left="306"/>
              <w:jc w:val="center"/>
              <w:rPr>
                <w:rFonts w:cstheme="minorHAnsi"/>
                <w:sz w:val="18"/>
                <w:szCs w:val="18"/>
              </w:rPr>
            </w:pPr>
          </w:p>
          <w:p w14:paraId="302A60C0" w14:textId="77777777" w:rsidR="00E5645C" w:rsidRDefault="00E5645C" w:rsidP="00E5645C">
            <w:pPr>
              <w:pStyle w:val="Prrafodelista"/>
              <w:autoSpaceDE w:val="0"/>
              <w:autoSpaceDN w:val="0"/>
              <w:adjustRightInd w:val="0"/>
              <w:ind w:left="306"/>
              <w:jc w:val="center"/>
              <w:rPr>
                <w:rFonts w:cstheme="minorHAnsi"/>
                <w:sz w:val="18"/>
                <w:szCs w:val="18"/>
              </w:rPr>
            </w:pPr>
          </w:p>
          <w:p w14:paraId="60A87989" w14:textId="77777777" w:rsidR="00E5645C" w:rsidRDefault="00E5645C" w:rsidP="00E5645C">
            <w:pPr>
              <w:pStyle w:val="Prrafodelista"/>
              <w:autoSpaceDE w:val="0"/>
              <w:autoSpaceDN w:val="0"/>
              <w:adjustRightInd w:val="0"/>
              <w:ind w:left="306"/>
              <w:jc w:val="center"/>
              <w:rPr>
                <w:rFonts w:cstheme="minorHAnsi"/>
                <w:sz w:val="18"/>
                <w:szCs w:val="18"/>
              </w:rPr>
            </w:pPr>
          </w:p>
          <w:p w14:paraId="791AFB43" w14:textId="77777777" w:rsidR="00E5645C" w:rsidRDefault="00E5645C" w:rsidP="00E5645C">
            <w:pPr>
              <w:pStyle w:val="Prrafodelista"/>
              <w:autoSpaceDE w:val="0"/>
              <w:autoSpaceDN w:val="0"/>
              <w:adjustRightInd w:val="0"/>
              <w:ind w:left="306"/>
              <w:jc w:val="center"/>
              <w:rPr>
                <w:rFonts w:cstheme="minorHAnsi"/>
                <w:sz w:val="18"/>
                <w:szCs w:val="18"/>
              </w:rPr>
            </w:pPr>
          </w:p>
          <w:p w14:paraId="32F87193" w14:textId="1B26258A" w:rsidR="00E5645C" w:rsidRPr="00FB655B" w:rsidRDefault="00E5645C" w:rsidP="00E5645C">
            <w:pPr>
              <w:pStyle w:val="Prrafodelista"/>
              <w:autoSpaceDE w:val="0"/>
              <w:autoSpaceDN w:val="0"/>
              <w:adjustRightInd w:val="0"/>
              <w:ind w:left="306"/>
              <w:jc w:val="center"/>
              <w:rPr>
                <w:rFonts w:cstheme="minorHAnsi"/>
                <w:sz w:val="18"/>
                <w:szCs w:val="18"/>
              </w:rPr>
            </w:pPr>
            <w:r>
              <w:rPr>
                <w:rFonts w:cstheme="minorHAnsi"/>
                <w:sz w:val="18"/>
                <w:szCs w:val="18"/>
              </w:rPr>
              <w:t>-</w:t>
            </w:r>
          </w:p>
        </w:tc>
        <w:tc>
          <w:tcPr>
            <w:tcW w:w="4452" w:type="dxa"/>
          </w:tcPr>
          <w:p w14:paraId="69D856F7" w14:textId="723E9057" w:rsidR="000168F5" w:rsidRDefault="00BD6F05" w:rsidP="006E6DFD">
            <w:pPr>
              <w:pStyle w:val="Prrafodelista"/>
              <w:autoSpaceDE w:val="0"/>
              <w:autoSpaceDN w:val="0"/>
              <w:adjustRightInd w:val="0"/>
              <w:ind w:left="306"/>
              <w:jc w:val="both"/>
              <w:rPr>
                <w:rFonts w:cstheme="minorHAnsi"/>
                <w:sz w:val="18"/>
                <w:szCs w:val="18"/>
              </w:rPr>
            </w:pPr>
            <w:r w:rsidRPr="00D1617F">
              <w:rPr>
                <w:rFonts w:cstheme="minorHAnsi"/>
                <w:color w:val="FF0000"/>
                <w:sz w:val="18"/>
                <w:szCs w:val="18"/>
              </w:rPr>
              <w:t>Para estos efectos, en las solicitudes de permiso para las viviendas del propietario del mismo y sus trabajadores, se deberá adjuntar un certificado de avalúo fiscal del predio en el cual conste su clasificación agrícola. En complemento a lo anterior, deberán adjuntarse también los documentos que acrediten la explotación agrícola del inmueble, tales como, la declaración de iniciación de actividades, contratos de producción agrícola con terceros o aquellos que den cuenta de la acreditación de usuario de los servicios institucionales del Instituto de Desarrollo Agropecuario. Adicionalmente, en las solicitudes de permiso para las viviendas de los trabajadores, deberá presentarse copia del contrato de trabajo y el certificado de pago de cotizaciones previsionales otorgado por el Instituto de Previsión Social o la Administradora de Fondo de Pensiones, según corresponda, del respectivo trabajador.</w:t>
            </w:r>
          </w:p>
          <w:p w14:paraId="0029F19E" w14:textId="47E9A7D4" w:rsidR="006E6DFD" w:rsidRPr="00FB655B" w:rsidRDefault="006E6DFD" w:rsidP="006E6DFD">
            <w:pPr>
              <w:pStyle w:val="Prrafodelista"/>
              <w:autoSpaceDE w:val="0"/>
              <w:autoSpaceDN w:val="0"/>
              <w:adjustRightInd w:val="0"/>
              <w:ind w:left="306"/>
              <w:jc w:val="both"/>
              <w:rPr>
                <w:rFonts w:cstheme="minorHAnsi"/>
                <w:sz w:val="18"/>
                <w:szCs w:val="18"/>
              </w:rPr>
            </w:pPr>
          </w:p>
        </w:tc>
        <w:tc>
          <w:tcPr>
            <w:tcW w:w="4212" w:type="dxa"/>
          </w:tcPr>
          <w:p w14:paraId="6426EC60" w14:textId="77777777" w:rsidR="000168F5" w:rsidRPr="00FB655B" w:rsidRDefault="000168F5" w:rsidP="000168F5">
            <w:pPr>
              <w:rPr>
                <w:rFonts w:cstheme="minorHAnsi"/>
                <w:sz w:val="18"/>
                <w:szCs w:val="18"/>
              </w:rPr>
            </w:pPr>
          </w:p>
        </w:tc>
      </w:tr>
    </w:tbl>
    <w:p w14:paraId="72A37A52" w14:textId="77777777" w:rsidR="005918AA" w:rsidRPr="00FB655B" w:rsidRDefault="005918AA">
      <w:pPr>
        <w:rPr>
          <w:rFonts w:cstheme="minorHAnsi"/>
          <w:sz w:val="18"/>
          <w:szCs w:val="18"/>
        </w:rPr>
      </w:pPr>
    </w:p>
    <w:sectPr w:rsidR="005918AA" w:rsidRPr="00FB655B" w:rsidSect="008C019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27C72" w14:textId="77777777" w:rsidR="00577161" w:rsidRDefault="00577161" w:rsidP="000168F5">
      <w:pPr>
        <w:spacing w:after="0" w:line="240" w:lineRule="auto"/>
      </w:pPr>
      <w:r>
        <w:separator/>
      </w:r>
    </w:p>
  </w:endnote>
  <w:endnote w:type="continuationSeparator" w:id="0">
    <w:p w14:paraId="56ECDE22" w14:textId="77777777" w:rsidR="00577161" w:rsidRDefault="00577161" w:rsidP="0001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BCE7D" w14:textId="77777777" w:rsidR="00577161" w:rsidRDefault="00577161" w:rsidP="000168F5">
      <w:pPr>
        <w:spacing w:after="0" w:line="240" w:lineRule="auto"/>
      </w:pPr>
      <w:r>
        <w:separator/>
      </w:r>
    </w:p>
  </w:footnote>
  <w:footnote w:type="continuationSeparator" w:id="0">
    <w:p w14:paraId="49BD599F" w14:textId="77777777" w:rsidR="00577161" w:rsidRDefault="00577161" w:rsidP="00016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10F"/>
    <w:multiLevelType w:val="hybridMultilevel"/>
    <w:tmpl w:val="CBC4A928"/>
    <w:lvl w:ilvl="0" w:tplc="558675D6">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8D6F33"/>
    <w:multiLevelType w:val="hybridMultilevel"/>
    <w:tmpl w:val="7EAA9D52"/>
    <w:lvl w:ilvl="0" w:tplc="6C685F02">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5158E6"/>
    <w:multiLevelType w:val="hybridMultilevel"/>
    <w:tmpl w:val="CE44C0A2"/>
    <w:lvl w:ilvl="0" w:tplc="BB007674">
      <w:start w:val="1"/>
      <w:numFmt w:val="decimal"/>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8B9733A"/>
    <w:multiLevelType w:val="hybridMultilevel"/>
    <w:tmpl w:val="2B8E738A"/>
    <w:lvl w:ilvl="0" w:tplc="2EA86E2E">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1955899"/>
    <w:multiLevelType w:val="hybridMultilevel"/>
    <w:tmpl w:val="2598BAA6"/>
    <w:lvl w:ilvl="0" w:tplc="558675D6">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1D32626"/>
    <w:multiLevelType w:val="hybridMultilevel"/>
    <w:tmpl w:val="F98CF1AE"/>
    <w:lvl w:ilvl="0" w:tplc="F662A8AE">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B0F7F5C"/>
    <w:multiLevelType w:val="hybridMultilevel"/>
    <w:tmpl w:val="DC80CFD4"/>
    <w:lvl w:ilvl="0" w:tplc="8ED0685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F012ED6"/>
    <w:multiLevelType w:val="hybridMultilevel"/>
    <w:tmpl w:val="D6D420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90F6669"/>
    <w:multiLevelType w:val="hybridMultilevel"/>
    <w:tmpl w:val="246A726C"/>
    <w:lvl w:ilvl="0" w:tplc="558675D6">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D1D683E"/>
    <w:multiLevelType w:val="hybridMultilevel"/>
    <w:tmpl w:val="C55001AC"/>
    <w:lvl w:ilvl="0" w:tplc="E22E86FA">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FF20441"/>
    <w:multiLevelType w:val="hybridMultilevel"/>
    <w:tmpl w:val="B7282E96"/>
    <w:lvl w:ilvl="0" w:tplc="624C54E2">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AF45B9E"/>
    <w:multiLevelType w:val="hybridMultilevel"/>
    <w:tmpl w:val="7B7250D0"/>
    <w:lvl w:ilvl="0" w:tplc="A806899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A56BB6"/>
    <w:multiLevelType w:val="hybridMultilevel"/>
    <w:tmpl w:val="41C6A6C0"/>
    <w:lvl w:ilvl="0" w:tplc="FD7AE04C">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EE3AA7"/>
    <w:multiLevelType w:val="hybridMultilevel"/>
    <w:tmpl w:val="954C2E60"/>
    <w:lvl w:ilvl="0" w:tplc="692C5414">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87334F3"/>
    <w:multiLevelType w:val="hybridMultilevel"/>
    <w:tmpl w:val="CE44BB54"/>
    <w:lvl w:ilvl="0" w:tplc="B73A9CC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6075F7"/>
    <w:multiLevelType w:val="hybridMultilevel"/>
    <w:tmpl w:val="D50CBBD0"/>
    <w:lvl w:ilvl="0" w:tplc="1F44FA0A">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3"/>
  </w:num>
  <w:num w:numId="5">
    <w:abstractNumId w:val="3"/>
  </w:num>
  <w:num w:numId="6">
    <w:abstractNumId w:val="0"/>
  </w:num>
  <w:num w:numId="7">
    <w:abstractNumId w:val="8"/>
  </w:num>
  <w:num w:numId="8">
    <w:abstractNumId w:val="4"/>
  </w:num>
  <w:num w:numId="9">
    <w:abstractNumId w:val="9"/>
  </w:num>
  <w:num w:numId="10">
    <w:abstractNumId w:val="11"/>
  </w:num>
  <w:num w:numId="11">
    <w:abstractNumId w:val="12"/>
  </w:num>
  <w:num w:numId="12">
    <w:abstractNumId w:val="15"/>
  </w:num>
  <w:num w:numId="13">
    <w:abstractNumId w:val="10"/>
  </w:num>
  <w:num w:numId="14">
    <w:abstractNumId w:val="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9A"/>
    <w:rsid w:val="000168F5"/>
    <w:rsid w:val="00025808"/>
    <w:rsid w:val="000564FB"/>
    <w:rsid w:val="000A3ABE"/>
    <w:rsid w:val="000D36B7"/>
    <w:rsid w:val="000F59AD"/>
    <w:rsid w:val="00114B53"/>
    <w:rsid w:val="00137DF6"/>
    <w:rsid w:val="001635F8"/>
    <w:rsid w:val="00190F2F"/>
    <w:rsid w:val="001E25C4"/>
    <w:rsid w:val="00264BD2"/>
    <w:rsid w:val="002815BC"/>
    <w:rsid w:val="002F18DD"/>
    <w:rsid w:val="002F612E"/>
    <w:rsid w:val="00322A57"/>
    <w:rsid w:val="00324029"/>
    <w:rsid w:val="00346A91"/>
    <w:rsid w:val="003A1B06"/>
    <w:rsid w:val="00444399"/>
    <w:rsid w:val="00463E60"/>
    <w:rsid w:val="004772BF"/>
    <w:rsid w:val="00483CF3"/>
    <w:rsid w:val="004B5DAF"/>
    <w:rsid w:val="004D7087"/>
    <w:rsid w:val="004F2C4C"/>
    <w:rsid w:val="00577161"/>
    <w:rsid w:val="005918AA"/>
    <w:rsid w:val="005B2F2A"/>
    <w:rsid w:val="005E3AB1"/>
    <w:rsid w:val="0060369E"/>
    <w:rsid w:val="00620529"/>
    <w:rsid w:val="00634590"/>
    <w:rsid w:val="006424B0"/>
    <w:rsid w:val="006471A7"/>
    <w:rsid w:val="00675D3D"/>
    <w:rsid w:val="00696D16"/>
    <w:rsid w:val="006C47B1"/>
    <w:rsid w:val="006E6DFD"/>
    <w:rsid w:val="00753500"/>
    <w:rsid w:val="007B28E1"/>
    <w:rsid w:val="00870598"/>
    <w:rsid w:val="00891A25"/>
    <w:rsid w:val="008A7711"/>
    <w:rsid w:val="008C019A"/>
    <w:rsid w:val="008C5C6C"/>
    <w:rsid w:val="008C66A0"/>
    <w:rsid w:val="008E6BDA"/>
    <w:rsid w:val="008F34F8"/>
    <w:rsid w:val="008F769E"/>
    <w:rsid w:val="009057C1"/>
    <w:rsid w:val="009A7C96"/>
    <w:rsid w:val="009C1FE3"/>
    <w:rsid w:val="009D48DE"/>
    <w:rsid w:val="009F548F"/>
    <w:rsid w:val="00A74646"/>
    <w:rsid w:val="00A93937"/>
    <w:rsid w:val="00AB1756"/>
    <w:rsid w:val="00AD748D"/>
    <w:rsid w:val="00B5046E"/>
    <w:rsid w:val="00B57C72"/>
    <w:rsid w:val="00B65C10"/>
    <w:rsid w:val="00B86BF0"/>
    <w:rsid w:val="00BA7FE0"/>
    <w:rsid w:val="00BB2E0E"/>
    <w:rsid w:val="00BD6F05"/>
    <w:rsid w:val="00C86B38"/>
    <w:rsid w:val="00CB254C"/>
    <w:rsid w:val="00CE1FAA"/>
    <w:rsid w:val="00CF03A2"/>
    <w:rsid w:val="00D07BDD"/>
    <w:rsid w:val="00D1617F"/>
    <w:rsid w:val="00D173B5"/>
    <w:rsid w:val="00D34833"/>
    <w:rsid w:val="00D82EFF"/>
    <w:rsid w:val="00D9287D"/>
    <w:rsid w:val="00DB46C7"/>
    <w:rsid w:val="00DC5ACA"/>
    <w:rsid w:val="00E228A7"/>
    <w:rsid w:val="00E24A66"/>
    <w:rsid w:val="00E316CE"/>
    <w:rsid w:val="00E347D5"/>
    <w:rsid w:val="00E421FB"/>
    <w:rsid w:val="00E4365C"/>
    <w:rsid w:val="00E5645C"/>
    <w:rsid w:val="00EA2C60"/>
    <w:rsid w:val="00EA69EC"/>
    <w:rsid w:val="00EB12DB"/>
    <w:rsid w:val="00ED0CBF"/>
    <w:rsid w:val="00EE5DA6"/>
    <w:rsid w:val="00EF3E31"/>
    <w:rsid w:val="00F068BD"/>
    <w:rsid w:val="00F46E0D"/>
    <w:rsid w:val="00F93AB1"/>
    <w:rsid w:val="00FB27D3"/>
    <w:rsid w:val="00FB655B"/>
    <w:rsid w:val="00FC6390"/>
    <w:rsid w:val="00FF20B9"/>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B5DB"/>
  <w15:chartTrackingRefBased/>
  <w15:docId w15:val="{5054B906-5873-4284-8D83-A62D893F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19A"/>
  </w:style>
  <w:style w:type="paragraph" w:styleId="Ttulo2">
    <w:name w:val="heading 2"/>
    <w:basedOn w:val="Normal"/>
    <w:next w:val="Normal"/>
    <w:link w:val="Ttulo2Car"/>
    <w:uiPriority w:val="9"/>
    <w:unhideWhenUsed/>
    <w:qFormat/>
    <w:rsid w:val="00AB17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C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C019A"/>
    <w:pPr>
      <w:ind w:left="720"/>
      <w:contextualSpacing/>
    </w:pPr>
  </w:style>
  <w:style w:type="paragraph" w:styleId="Textodeglobo">
    <w:name w:val="Balloon Text"/>
    <w:basedOn w:val="Normal"/>
    <w:link w:val="TextodegloboCar"/>
    <w:uiPriority w:val="99"/>
    <w:semiHidden/>
    <w:unhideWhenUsed/>
    <w:rsid w:val="008C01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19A"/>
    <w:rPr>
      <w:rFonts w:ascii="Segoe UI" w:hAnsi="Segoe UI" w:cs="Segoe UI"/>
      <w:sz w:val="18"/>
      <w:szCs w:val="18"/>
    </w:rPr>
  </w:style>
  <w:style w:type="paragraph" w:styleId="Encabezado">
    <w:name w:val="header"/>
    <w:basedOn w:val="Normal"/>
    <w:link w:val="EncabezadoCar"/>
    <w:uiPriority w:val="99"/>
    <w:unhideWhenUsed/>
    <w:rsid w:val="00016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68F5"/>
  </w:style>
  <w:style w:type="paragraph" w:styleId="Piedepgina">
    <w:name w:val="footer"/>
    <w:basedOn w:val="Normal"/>
    <w:link w:val="PiedepginaCar"/>
    <w:uiPriority w:val="99"/>
    <w:unhideWhenUsed/>
    <w:rsid w:val="00016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68F5"/>
  </w:style>
  <w:style w:type="character" w:styleId="Refdecomentario">
    <w:name w:val="annotation reference"/>
    <w:basedOn w:val="Fuentedeprrafopredeter"/>
    <w:uiPriority w:val="99"/>
    <w:semiHidden/>
    <w:unhideWhenUsed/>
    <w:rsid w:val="0060369E"/>
    <w:rPr>
      <w:sz w:val="16"/>
      <w:szCs w:val="16"/>
    </w:rPr>
  </w:style>
  <w:style w:type="paragraph" w:styleId="Textocomentario">
    <w:name w:val="annotation text"/>
    <w:basedOn w:val="Normal"/>
    <w:link w:val="TextocomentarioCar"/>
    <w:uiPriority w:val="99"/>
    <w:semiHidden/>
    <w:unhideWhenUsed/>
    <w:rsid w:val="006036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69E"/>
    <w:rPr>
      <w:sz w:val="20"/>
      <w:szCs w:val="20"/>
    </w:rPr>
  </w:style>
  <w:style w:type="paragraph" w:styleId="Asuntodelcomentario">
    <w:name w:val="annotation subject"/>
    <w:basedOn w:val="Textocomentario"/>
    <w:next w:val="Textocomentario"/>
    <w:link w:val="AsuntodelcomentarioCar"/>
    <w:uiPriority w:val="99"/>
    <w:semiHidden/>
    <w:unhideWhenUsed/>
    <w:rsid w:val="0060369E"/>
    <w:rPr>
      <w:b/>
      <w:bCs/>
    </w:rPr>
  </w:style>
  <w:style w:type="character" w:customStyle="1" w:styleId="AsuntodelcomentarioCar">
    <w:name w:val="Asunto del comentario Car"/>
    <w:basedOn w:val="TextocomentarioCar"/>
    <w:link w:val="Asuntodelcomentario"/>
    <w:uiPriority w:val="99"/>
    <w:semiHidden/>
    <w:rsid w:val="0060369E"/>
    <w:rPr>
      <w:b/>
      <w:bCs/>
      <w:sz w:val="20"/>
      <w:szCs w:val="20"/>
    </w:rPr>
  </w:style>
  <w:style w:type="paragraph" w:styleId="Revisin">
    <w:name w:val="Revision"/>
    <w:hidden/>
    <w:uiPriority w:val="99"/>
    <w:semiHidden/>
    <w:rsid w:val="00634590"/>
    <w:pPr>
      <w:spacing w:after="0" w:line="240" w:lineRule="auto"/>
    </w:pPr>
  </w:style>
  <w:style w:type="character" w:customStyle="1" w:styleId="Ttulo2Car">
    <w:name w:val="Título 2 Car"/>
    <w:basedOn w:val="Fuentedeprrafopredeter"/>
    <w:link w:val="Ttulo2"/>
    <w:uiPriority w:val="9"/>
    <w:rsid w:val="00AB17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A60D-F1C4-4A38-AC13-DCCF3E8F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14613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DPNU</dc:creator>
  <cp:keywords/>
  <dc:description/>
  <cp:lastModifiedBy>DPN</cp:lastModifiedBy>
  <cp:revision>2</cp:revision>
  <dcterms:created xsi:type="dcterms:W3CDTF">2022-09-21T17:11:00Z</dcterms:created>
  <dcterms:modified xsi:type="dcterms:W3CDTF">2022-09-21T17:11:00Z</dcterms:modified>
</cp:coreProperties>
</file>