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0E3DB" w14:textId="77777777" w:rsidR="00D80906" w:rsidRDefault="00844FBA" w:rsidP="005273C5">
      <w:pPr>
        <w:pBdr>
          <w:bottom w:val="single" w:sz="12" w:space="1" w:color="auto"/>
        </w:pBdr>
        <w:spacing w:after="0" w:line="240" w:lineRule="auto"/>
        <w:jc w:val="center"/>
        <w:rPr>
          <w:b/>
        </w:rPr>
      </w:pPr>
      <w:r>
        <w:rPr>
          <w:b/>
        </w:rPr>
        <w:t xml:space="preserve">Consulta </w:t>
      </w:r>
      <w:r w:rsidR="00455ED3">
        <w:rPr>
          <w:b/>
        </w:rPr>
        <w:t>pública</w:t>
      </w:r>
      <w:r>
        <w:rPr>
          <w:b/>
        </w:rPr>
        <w:t xml:space="preserve"> sobre p</w:t>
      </w:r>
      <w:r w:rsidR="00835382">
        <w:rPr>
          <w:b/>
        </w:rPr>
        <w:t xml:space="preserve">ropuesta de </w:t>
      </w:r>
      <w:r w:rsidR="00711B7C" w:rsidRPr="00AA698D">
        <w:rPr>
          <w:rFonts w:ascii="Verdana" w:eastAsia="Calibri" w:hAnsi="Verdana" w:cstheme="minorHAnsi"/>
          <w:b/>
          <w:bCs/>
          <w:spacing w:val="-2"/>
          <w:sz w:val="18"/>
          <w:szCs w:val="18"/>
        </w:rPr>
        <w:t>reglamento sobre mitigación de los impactos al sistema de movilidad local derivados de proyectos de crecimiento urbano</w:t>
      </w:r>
    </w:p>
    <w:p w14:paraId="19D21643" w14:textId="77777777" w:rsidR="00844FBA" w:rsidRPr="00844FBA" w:rsidRDefault="00844FBA" w:rsidP="005273C5">
      <w:pPr>
        <w:pBdr>
          <w:bottom w:val="single" w:sz="12" w:space="1" w:color="auto"/>
        </w:pBdr>
        <w:spacing w:after="0" w:line="240" w:lineRule="auto"/>
        <w:jc w:val="center"/>
      </w:pPr>
      <w:r w:rsidRPr="00844FBA">
        <w:t>(</w:t>
      </w:r>
      <w:r w:rsidR="00D82094">
        <w:t>2</w:t>
      </w:r>
      <w:r w:rsidR="00D80906">
        <w:t>3</w:t>
      </w:r>
      <w:r w:rsidR="00D82094">
        <w:t xml:space="preserve"> de </w:t>
      </w:r>
      <w:r w:rsidR="00D80906">
        <w:t xml:space="preserve">febrero </w:t>
      </w:r>
      <w:r w:rsidR="00D82094">
        <w:t>a</w:t>
      </w:r>
      <w:r w:rsidRPr="00844FBA">
        <w:t xml:space="preserve">l </w:t>
      </w:r>
      <w:r w:rsidR="00D80906">
        <w:t xml:space="preserve">6 </w:t>
      </w:r>
      <w:r w:rsidR="00D82094">
        <w:t>de ma</w:t>
      </w:r>
      <w:r w:rsidR="00D80906">
        <w:t>rz</w:t>
      </w:r>
      <w:r w:rsidR="00D82094">
        <w:t>o</w:t>
      </w:r>
      <w:r w:rsidR="00D82094" w:rsidRPr="00844FBA">
        <w:t xml:space="preserve"> </w:t>
      </w:r>
      <w:r w:rsidR="00D80906">
        <w:t xml:space="preserve">de </w:t>
      </w:r>
      <w:r w:rsidRPr="00844FBA">
        <w:t>201</w:t>
      </w:r>
      <w:r w:rsidR="00711B7C">
        <w:t>7</w:t>
      </w:r>
      <w:r w:rsidRPr="00844FBA">
        <w:t>)</w:t>
      </w:r>
    </w:p>
    <w:p w14:paraId="2BACC9AE" w14:textId="77777777" w:rsidR="00C7137B" w:rsidRDefault="00C7137B" w:rsidP="005273C5">
      <w:pPr>
        <w:spacing w:after="0" w:line="240" w:lineRule="auto"/>
      </w:pPr>
    </w:p>
    <w:p w14:paraId="1EC1DAAD" w14:textId="77777777" w:rsidR="00C7137B" w:rsidRDefault="00C7137B" w:rsidP="00C7023C">
      <w:pPr>
        <w:pStyle w:val="Prrafodelista"/>
        <w:numPr>
          <w:ilvl w:val="0"/>
          <w:numId w:val="1"/>
        </w:numPr>
        <w:spacing w:after="120" w:line="240" w:lineRule="auto"/>
        <w:ind w:left="360"/>
        <w:contextualSpacing w:val="0"/>
      </w:pPr>
      <w:r w:rsidRPr="00C7137B">
        <w:rPr>
          <w:b/>
        </w:rPr>
        <w:t>Identificación de la propuesta normativa</w:t>
      </w:r>
      <w:r w:rsidR="00105477">
        <w:rPr>
          <w:b/>
        </w:rPr>
        <w:t xml:space="preserve"> sometida a consulta</w:t>
      </w:r>
      <w:r w:rsidR="00051FDE">
        <w:rPr>
          <w:b/>
        </w:rPr>
        <w:t>.</w:t>
      </w:r>
      <w:r>
        <w:t xml:space="preserve"> </w:t>
      </w:r>
    </w:p>
    <w:p w14:paraId="0DEED6BF" w14:textId="67876B04" w:rsidR="00462B71" w:rsidRPr="00121832" w:rsidRDefault="0009514D" w:rsidP="00462B71">
      <w:pPr>
        <w:spacing w:after="120" w:line="240" w:lineRule="auto"/>
        <w:jc w:val="both"/>
      </w:pPr>
      <w:r w:rsidRPr="00121832">
        <w:t>P</w:t>
      </w:r>
      <w:r w:rsidR="00C7137B" w:rsidRPr="00121832">
        <w:t xml:space="preserve">royecto de Decreto Supremo </w:t>
      </w:r>
      <w:r w:rsidR="00C464D8">
        <w:t xml:space="preserve">con el Reglamento sobre mitigación de los impactos al sistema de movilidad Local, </w:t>
      </w:r>
      <w:r w:rsidR="00C7137B" w:rsidRPr="00121832">
        <w:t>que la Ley N° 20.</w:t>
      </w:r>
      <w:r w:rsidR="007D36DA" w:rsidRPr="00121832">
        <w:t>958</w:t>
      </w:r>
      <w:r w:rsidR="00C7137B" w:rsidRPr="00121832">
        <w:t xml:space="preserve"> (publicada en el Diario Oficial de 1</w:t>
      </w:r>
      <w:r w:rsidR="00D73132" w:rsidRPr="00121832">
        <w:t>5</w:t>
      </w:r>
      <w:r w:rsidR="00C7137B" w:rsidRPr="00121832">
        <w:t xml:space="preserve"> de </w:t>
      </w:r>
      <w:r w:rsidR="00D73132" w:rsidRPr="00121832">
        <w:rPr>
          <w:bCs/>
          <w:spacing w:val="-2"/>
        </w:rPr>
        <w:t>octubre</w:t>
      </w:r>
      <w:r w:rsidR="00D73132" w:rsidRPr="00121832">
        <w:t xml:space="preserve"> </w:t>
      </w:r>
      <w:r w:rsidR="00C7137B" w:rsidRPr="00121832">
        <w:t>de 201</w:t>
      </w:r>
      <w:r w:rsidR="00D73132" w:rsidRPr="00121832">
        <w:t>6</w:t>
      </w:r>
      <w:r w:rsidR="00C7137B" w:rsidRPr="00121832">
        <w:t>)</w:t>
      </w:r>
      <w:r w:rsidR="00F14069" w:rsidRPr="00121832">
        <w:t xml:space="preserve">, </w:t>
      </w:r>
      <w:r w:rsidR="00D73132" w:rsidRPr="00121832">
        <w:t xml:space="preserve">establece </w:t>
      </w:r>
      <w:r w:rsidR="00475B32">
        <w:t xml:space="preserve">como exigencia para los proyectos de crecimiento urbano por extensión o por densificación y generen un impacto directo (“Mitigaciones Directas”) sobre la </w:t>
      </w:r>
      <w:r w:rsidR="00D73132" w:rsidRPr="00121832">
        <w:t xml:space="preserve"> </w:t>
      </w:r>
      <w:r w:rsidR="00462B71" w:rsidRPr="00121832">
        <w:t>movilidad local.</w:t>
      </w:r>
    </w:p>
    <w:p w14:paraId="1EB12432" w14:textId="77777777" w:rsidR="00C7137B" w:rsidRPr="00121832" w:rsidRDefault="00C7137B" w:rsidP="00C7023C">
      <w:pPr>
        <w:pStyle w:val="Prrafodelista"/>
        <w:numPr>
          <w:ilvl w:val="0"/>
          <w:numId w:val="1"/>
        </w:numPr>
        <w:spacing w:after="120" w:line="240" w:lineRule="auto"/>
        <w:ind w:left="360"/>
        <w:contextualSpacing w:val="0"/>
        <w:jc w:val="both"/>
      </w:pPr>
      <w:r w:rsidRPr="00121832">
        <w:rPr>
          <w:b/>
        </w:rPr>
        <w:t xml:space="preserve">Descripción del problema </w:t>
      </w:r>
      <w:r w:rsidR="00F10A85" w:rsidRPr="00121832">
        <w:rPr>
          <w:b/>
        </w:rPr>
        <w:t xml:space="preserve">o necesidad </w:t>
      </w:r>
      <w:r w:rsidRPr="00121832">
        <w:rPr>
          <w:b/>
        </w:rPr>
        <w:t>que motiva la elaboración de esta normativa</w:t>
      </w:r>
      <w:r w:rsidRPr="00121832">
        <w:t>.</w:t>
      </w:r>
    </w:p>
    <w:p w14:paraId="0CC65E98" w14:textId="77777777" w:rsidR="00C7137B" w:rsidRPr="00121832" w:rsidRDefault="00BB5879" w:rsidP="00462B71">
      <w:pPr>
        <w:spacing w:after="120" w:line="240" w:lineRule="auto"/>
        <w:jc w:val="both"/>
      </w:pPr>
      <w:r w:rsidRPr="00121832">
        <w:t>R</w:t>
      </w:r>
      <w:r w:rsidR="00C7137B" w:rsidRPr="00121832">
        <w:t xml:space="preserve">eglamentar </w:t>
      </w:r>
      <w:r w:rsidR="00462B71" w:rsidRPr="00121832">
        <w:rPr>
          <w:lang w:val="es-ES_tradnl"/>
        </w:rPr>
        <w:t>el mecanismo mediante el cual los proyectos inmobiliarios, entendidos como aquellos que conlleven crecimiento urbano por extensión o por densificación, sean estos urbanos o rurales autorizados conforme a lo dispuesto en la Ley General de Urbanismo y Construcciones, de titularidad pública o privada, deben declarar y mitigar los impactos relevantes que se producirán sobre el sistema de movilidad local como consecuencia de la puesta en operación del proyecto, propendiendo a que se mantengan los estándares de servicio del referido sistema en un nivel semejante al existente antes de la ejecución del proyecto.</w:t>
      </w:r>
    </w:p>
    <w:p w14:paraId="3127AB30" w14:textId="77777777" w:rsidR="00C7137B" w:rsidRPr="00121832" w:rsidRDefault="00C7137B" w:rsidP="00C7023C">
      <w:pPr>
        <w:pStyle w:val="Prrafodelista"/>
        <w:numPr>
          <w:ilvl w:val="0"/>
          <w:numId w:val="1"/>
        </w:numPr>
        <w:spacing w:after="120" w:line="240" w:lineRule="auto"/>
        <w:ind w:left="360"/>
        <w:contextualSpacing w:val="0"/>
        <w:jc w:val="both"/>
        <w:rPr>
          <w:b/>
        </w:rPr>
      </w:pPr>
      <w:r w:rsidRPr="00121832">
        <w:rPr>
          <w:b/>
        </w:rPr>
        <w:t>Objetivos de la propuesta normativa</w:t>
      </w:r>
      <w:r w:rsidR="00051FDE" w:rsidRPr="00121832">
        <w:rPr>
          <w:b/>
        </w:rPr>
        <w:t>.</w:t>
      </w:r>
    </w:p>
    <w:p w14:paraId="59DF0C3B" w14:textId="77777777" w:rsidR="00462B71" w:rsidRPr="00121832" w:rsidRDefault="008B11B8" w:rsidP="008B11B8">
      <w:pPr>
        <w:pStyle w:val="Prrafodelista"/>
        <w:spacing w:after="120" w:line="240" w:lineRule="auto"/>
        <w:ind w:left="0"/>
        <w:contextualSpacing w:val="0"/>
        <w:jc w:val="both"/>
        <w:rPr>
          <w:b/>
        </w:rPr>
      </w:pPr>
      <w:r w:rsidRPr="00121832">
        <w:t xml:space="preserve">La propuesta de </w:t>
      </w:r>
      <w:r w:rsidR="00462B71" w:rsidRPr="00121832">
        <w:t>reglamento establece el procedimiento y la metodología para que los titulares de los proyectos de crecimiento urbano por extensión o por densificación elaboren los Informes de Mitigación de Impacto Vial, en adelante IMIV, conforme a lo dispuesto en el artículo 171 de la Ley General de Urbanismo y Construcciones</w:t>
      </w:r>
      <w:r w:rsidR="00475B32">
        <w:t>.</w:t>
      </w:r>
    </w:p>
    <w:p w14:paraId="5CE50B53" w14:textId="77777777" w:rsidR="00C7137B" w:rsidRPr="00121832" w:rsidRDefault="00C7137B" w:rsidP="00C7023C">
      <w:pPr>
        <w:spacing w:after="120" w:line="240" w:lineRule="auto"/>
        <w:ind w:left="-360" w:firstLine="45"/>
        <w:jc w:val="both"/>
      </w:pPr>
    </w:p>
    <w:p w14:paraId="59F04B76" w14:textId="77777777" w:rsidR="00C7137B" w:rsidRPr="00121832" w:rsidRDefault="00C7137B" w:rsidP="00C7023C">
      <w:pPr>
        <w:pStyle w:val="Prrafodelista"/>
        <w:numPr>
          <w:ilvl w:val="0"/>
          <w:numId w:val="1"/>
        </w:numPr>
        <w:spacing w:after="120" w:line="240" w:lineRule="auto"/>
        <w:ind w:left="360"/>
        <w:contextualSpacing w:val="0"/>
        <w:jc w:val="both"/>
        <w:rPr>
          <w:b/>
        </w:rPr>
      </w:pPr>
      <w:r w:rsidRPr="00121832">
        <w:rPr>
          <w:b/>
        </w:rPr>
        <w:t xml:space="preserve">Descripción de la propuesta. </w:t>
      </w:r>
    </w:p>
    <w:p w14:paraId="728BE5AD" w14:textId="77777777" w:rsidR="008B11B8" w:rsidRPr="00121832" w:rsidRDefault="008B11B8" w:rsidP="008B11B8">
      <w:pPr>
        <w:pStyle w:val="Prrafodelista"/>
        <w:numPr>
          <w:ilvl w:val="0"/>
          <w:numId w:val="5"/>
        </w:numPr>
        <w:spacing w:after="120" w:line="240" w:lineRule="auto"/>
        <w:contextualSpacing w:val="0"/>
        <w:jc w:val="both"/>
        <w:rPr>
          <w:u w:val="single"/>
        </w:rPr>
      </w:pPr>
      <w:r w:rsidRPr="00121832">
        <w:rPr>
          <w:u w:val="single"/>
        </w:rPr>
        <w:t>Ingreso de las características del proyecto al Sistema de Evaluación Impacto en la Movilidad (SEIM)</w:t>
      </w:r>
    </w:p>
    <w:p w14:paraId="7BF708B1" w14:textId="77777777" w:rsidR="008B11B8" w:rsidRPr="00121832" w:rsidRDefault="008B11B8" w:rsidP="008B11B8">
      <w:pPr>
        <w:pStyle w:val="Prrafodelista"/>
        <w:spacing w:after="120" w:line="240" w:lineRule="auto"/>
        <w:contextualSpacing w:val="0"/>
        <w:jc w:val="both"/>
      </w:pPr>
      <w:r w:rsidRPr="00121832">
        <w:t>El titular de cualquier proyecto de crecimiento urbano por extensión o densificación debe declarar, en el SEIM, y mediante la respectiva ficha, las características del mismo, tales como nombre y descripción del proyecto, localización y accesos, características físicas y operacionales, destinos involucrados y carga de ocupación de los mismos, superficies, número de estacionamientos, cantidad de unidades habitacionales, si las hubiere, entre otras características, con el objeto que el sistema pueda efectuar una estimación de los flujos vehiculares y peatonales inducidos por el proyecto, determinar si éste debe o no presentar un IMIV y, en caso que sea exigible, precisar el tipo de informe requerido.</w:t>
      </w:r>
    </w:p>
    <w:p w14:paraId="7AAA203F" w14:textId="42CD1DF6" w:rsidR="00A473FE" w:rsidRPr="00A473FE" w:rsidRDefault="00A473FE" w:rsidP="00A473FE">
      <w:pPr>
        <w:pStyle w:val="Ttulo3"/>
        <w:spacing w:before="0" w:line="240" w:lineRule="auto"/>
        <w:ind w:left="708"/>
        <w:jc w:val="both"/>
        <w:rPr>
          <w:rFonts w:asciiTheme="minorHAnsi" w:hAnsiTheme="minorHAnsi"/>
          <w:szCs w:val="22"/>
        </w:rPr>
      </w:pPr>
      <w:bookmarkStart w:id="0" w:name="_Toc471726779"/>
      <w:r w:rsidRPr="00A473FE">
        <w:rPr>
          <w:rFonts w:asciiTheme="minorHAnsi" w:eastAsiaTheme="minorHAnsi" w:hAnsiTheme="minorHAnsi" w:cstheme="minorBidi"/>
          <w:b w:val="0"/>
          <w:bCs w:val="0"/>
          <w:color w:val="auto"/>
          <w:szCs w:val="22"/>
          <w:lang w:val="es-ES" w:eastAsia="en-US"/>
        </w:rPr>
        <w:t>También, puede existir la p</w:t>
      </w:r>
      <w:r w:rsidRPr="00A473FE">
        <w:rPr>
          <w:rFonts w:asciiTheme="minorHAnsi" w:eastAsiaTheme="minorHAnsi" w:hAnsiTheme="minorHAnsi" w:cstheme="minorBidi"/>
          <w:b w:val="0"/>
          <w:bCs w:val="0"/>
          <w:color w:val="auto"/>
          <w:szCs w:val="22"/>
          <w:lang w:val="es-ES" w:eastAsia="en-US"/>
        </w:rPr>
        <w:t>osibilidad de presentar un informe de mitigación conjunto</w:t>
      </w:r>
      <w:bookmarkEnd w:id="0"/>
      <w:r w:rsidRPr="00A473FE">
        <w:rPr>
          <w:rFonts w:asciiTheme="minorHAnsi" w:eastAsiaTheme="minorHAnsi" w:hAnsiTheme="minorHAnsi" w:cstheme="minorBidi"/>
          <w:b w:val="0"/>
          <w:bCs w:val="0"/>
          <w:color w:val="auto"/>
          <w:szCs w:val="22"/>
          <w:lang w:val="es-ES" w:eastAsia="en-US"/>
        </w:rPr>
        <w:t>, esto es a los</w:t>
      </w:r>
      <w:r w:rsidRPr="00A473FE">
        <w:rPr>
          <w:rFonts w:asciiTheme="minorHAnsi" w:eastAsiaTheme="minorHAnsi" w:hAnsiTheme="minorHAnsi" w:cstheme="minorBidi"/>
          <w:b w:val="0"/>
          <w:bCs w:val="0"/>
          <w:color w:val="auto"/>
          <w:szCs w:val="22"/>
          <w:lang w:val="es-ES" w:eastAsia="en-US"/>
        </w:rPr>
        <w:t xml:space="preserve"> proyectos que requieran presentar un IMIV y que sean cercanos en su localización, podrán realizar un informe de mitigación conjunto, a propuesta de los interesados o por sugerencia de la autoridad respectiva. </w:t>
      </w:r>
      <w:bookmarkStart w:id="1" w:name="_GoBack"/>
      <w:bookmarkEnd w:id="1"/>
    </w:p>
    <w:p w14:paraId="4F156F67" w14:textId="77777777" w:rsidR="008B11B8" w:rsidRPr="00121832" w:rsidRDefault="008B11B8" w:rsidP="008B11B8">
      <w:pPr>
        <w:pStyle w:val="Prrafodelista"/>
        <w:spacing w:after="120" w:line="240" w:lineRule="auto"/>
        <w:contextualSpacing w:val="0"/>
        <w:jc w:val="both"/>
      </w:pPr>
    </w:p>
    <w:p w14:paraId="045F9B10" w14:textId="512163F9" w:rsidR="002A3F0D" w:rsidRPr="00121832" w:rsidRDefault="002A3F0D" w:rsidP="002A3F0D">
      <w:pPr>
        <w:pStyle w:val="Prrafodelista"/>
        <w:numPr>
          <w:ilvl w:val="0"/>
          <w:numId w:val="5"/>
        </w:numPr>
        <w:spacing w:after="120" w:line="240" w:lineRule="auto"/>
        <w:contextualSpacing w:val="0"/>
        <w:jc w:val="both"/>
        <w:rPr>
          <w:u w:val="single"/>
        </w:rPr>
      </w:pPr>
      <w:r w:rsidRPr="00121832">
        <w:rPr>
          <w:u w:val="single"/>
        </w:rPr>
        <w:t>C</w:t>
      </w:r>
      <w:r w:rsidR="00704E3B">
        <w:rPr>
          <w:u w:val="single"/>
        </w:rPr>
        <w:t>á</w:t>
      </w:r>
      <w:r w:rsidRPr="00121832">
        <w:rPr>
          <w:u w:val="single"/>
        </w:rPr>
        <w:t>lculo de viaje</w:t>
      </w:r>
      <w:r w:rsidR="00704E3B">
        <w:rPr>
          <w:u w:val="single"/>
        </w:rPr>
        <w:t>s</w:t>
      </w:r>
      <w:r w:rsidRPr="00121832">
        <w:rPr>
          <w:u w:val="single"/>
        </w:rPr>
        <w:t xml:space="preserve"> inducido</w:t>
      </w:r>
      <w:r w:rsidR="00704E3B">
        <w:rPr>
          <w:u w:val="single"/>
        </w:rPr>
        <w:t>s</w:t>
      </w:r>
      <w:r w:rsidRPr="00121832">
        <w:rPr>
          <w:u w:val="single"/>
        </w:rPr>
        <w:t xml:space="preserve"> por el proyecto </w:t>
      </w:r>
    </w:p>
    <w:p w14:paraId="62CC63B7" w14:textId="29E3E65C" w:rsidR="002A3F0D" w:rsidRPr="00121832" w:rsidRDefault="002A3F0D" w:rsidP="002A3F0D">
      <w:pPr>
        <w:pStyle w:val="Prrafodelista"/>
        <w:spacing w:after="120" w:line="240" w:lineRule="auto"/>
        <w:contextualSpacing w:val="0"/>
        <w:jc w:val="both"/>
      </w:pPr>
      <w:r w:rsidRPr="00121832">
        <w:t xml:space="preserve">Los </w:t>
      </w:r>
      <w:r w:rsidR="00704E3B">
        <w:t xml:space="preserve">viajes o </w:t>
      </w:r>
      <w:r w:rsidRPr="00121832">
        <w:t>flujos vehiculares y peatonales inducidos por un proyecto corresponden al total de viajes, sea en transporte público</w:t>
      </w:r>
      <w:r w:rsidR="00475B32">
        <w:t>,</w:t>
      </w:r>
      <w:r w:rsidRPr="00121832">
        <w:t xml:space="preserve"> privado</w:t>
      </w:r>
      <w:r w:rsidR="00475B32">
        <w:t xml:space="preserve"> u otros modos </w:t>
      </w:r>
      <w:r w:rsidRPr="00121832">
        <w:t xml:space="preserve">no motorizados, como bicicleta y caminata, obtenidos para la temporada y periodo más crítico, a partir de las tasas de generación o atracción de viajes que mejor reflejen la actividad y </w:t>
      </w:r>
      <w:r w:rsidRPr="00121832">
        <w:lastRenderedPageBreak/>
        <w:t>ubicación del proyecto</w:t>
      </w:r>
      <w:r w:rsidR="00475B32">
        <w:t xml:space="preserve">, tasas que serán de conocimiento público incluidas en el Reglamento y utilizadas por l </w:t>
      </w:r>
      <w:r w:rsidRPr="00121832">
        <w:t xml:space="preserve"> SEIM</w:t>
      </w:r>
      <w:r w:rsidR="00475B32">
        <w:t xml:space="preserve"> para la estimación de </w:t>
      </w:r>
      <w:r w:rsidR="00053D4D">
        <w:t>los viajes inducidos por el proyecto</w:t>
      </w:r>
      <w:r w:rsidRPr="00121832">
        <w:t>.</w:t>
      </w:r>
    </w:p>
    <w:p w14:paraId="561A5871" w14:textId="77777777" w:rsidR="002A3F0D" w:rsidRPr="00121832" w:rsidRDefault="002A3F0D" w:rsidP="002A3F0D">
      <w:pPr>
        <w:pStyle w:val="Prrafodelista"/>
        <w:spacing w:after="120" w:line="240" w:lineRule="auto"/>
        <w:contextualSpacing w:val="0"/>
        <w:jc w:val="both"/>
      </w:pPr>
    </w:p>
    <w:p w14:paraId="4BBFD5A5" w14:textId="27092606" w:rsidR="002A3F0D" w:rsidRPr="00121832" w:rsidRDefault="002A3F0D" w:rsidP="002A3F0D">
      <w:pPr>
        <w:pStyle w:val="Prrafodelista"/>
        <w:numPr>
          <w:ilvl w:val="0"/>
          <w:numId w:val="5"/>
        </w:numPr>
        <w:spacing w:after="120" w:line="240" w:lineRule="auto"/>
        <w:contextualSpacing w:val="0"/>
        <w:jc w:val="both"/>
      </w:pPr>
      <w:r w:rsidRPr="00121832">
        <w:rPr>
          <w:u w:val="single"/>
        </w:rPr>
        <w:t>Determinación del tipo de IMIV requerido o exención</w:t>
      </w:r>
    </w:p>
    <w:p w14:paraId="1973F8AE" w14:textId="25047C6A" w:rsidR="002A3F0D" w:rsidRPr="00121832" w:rsidRDefault="002A3F0D" w:rsidP="002A3F0D">
      <w:pPr>
        <w:ind w:left="708"/>
        <w:jc w:val="both"/>
      </w:pPr>
      <w:r w:rsidRPr="00121832">
        <w:t xml:space="preserve">A partir de la estimación de </w:t>
      </w:r>
      <w:r w:rsidR="00704E3B">
        <w:t>flujos</w:t>
      </w:r>
      <w:r w:rsidRPr="00121832">
        <w:t>, el SEIM determinará si el proyecto debe o no presentar un IMIV.</w:t>
      </w:r>
    </w:p>
    <w:p w14:paraId="1117E79B" w14:textId="77777777" w:rsidR="002A3F0D" w:rsidRPr="00121832" w:rsidRDefault="002A3F0D" w:rsidP="00C22D5A">
      <w:pPr>
        <w:ind w:left="708"/>
        <w:jc w:val="both"/>
      </w:pPr>
      <w:r w:rsidRPr="00121832">
        <w:t>En caso de requerirse la presentación de un IMIV, deberán considerarse los siguientes umbrales para determinar el tipo de IMIV requerido:</w:t>
      </w:r>
    </w:p>
    <w:tbl>
      <w:tblPr>
        <w:tblStyle w:val="Tablaconcuadrcula"/>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977"/>
        <w:gridCol w:w="2693"/>
      </w:tblGrid>
      <w:tr w:rsidR="002A3F0D" w:rsidRPr="00121832" w14:paraId="722E094B" w14:textId="77777777" w:rsidTr="00AC5587">
        <w:tc>
          <w:tcPr>
            <w:tcW w:w="1985" w:type="dxa"/>
            <w:tcBorders>
              <w:top w:val="single" w:sz="12" w:space="0" w:color="auto"/>
              <w:bottom w:val="single" w:sz="12" w:space="0" w:color="auto"/>
            </w:tcBorders>
            <w:vAlign w:val="center"/>
          </w:tcPr>
          <w:p w14:paraId="5D1CE838" w14:textId="77777777" w:rsidR="002A3F0D" w:rsidRPr="00121832" w:rsidRDefault="002A3F0D" w:rsidP="00AC5587">
            <w:pPr>
              <w:spacing w:line="276" w:lineRule="auto"/>
            </w:pPr>
            <w:r w:rsidRPr="00121832">
              <w:t>Tipo de IMIV</w:t>
            </w:r>
          </w:p>
        </w:tc>
        <w:tc>
          <w:tcPr>
            <w:tcW w:w="2977" w:type="dxa"/>
            <w:tcBorders>
              <w:top w:val="single" w:sz="12" w:space="0" w:color="auto"/>
              <w:bottom w:val="single" w:sz="12" w:space="0" w:color="auto"/>
            </w:tcBorders>
            <w:vAlign w:val="center"/>
          </w:tcPr>
          <w:p w14:paraId="39058E0D" w14:textId="77777777" w:rsidR="002A3F0D" w:rsidRPr="00121832" w:rsidRDefault="002A3F0D" w:rsidP="00AC5587">
            <w:pPr>
              <w:spacing w:line="276" w:lineRule="auto"/>
              <w:jc w:val="center"/>
            </w:pPr>
            <w:r w:rsidRPr="00121832">
              <w:t>Flujo vehicular [</w:t>
            </w:r>
            <w:proofErr w:type="spellStart"/>
            <w:r w:rsidRPr="00121832">
              <w:t>veh</w:t>
            </w:r>
            <w:proofErr w:type="spellEnd"/>
            <w:r w:rsidRPr="00121832">
              <w:t>/h]</w:t>
            </w:r>
          </w:p>
        </w:tc>
        <w:tc>
          <w:tcPr>
            <w:tcW w:w="2693" w:type="dxa"/>
            <w:tcBorders>
              <w:top w:val="single" w:sz="12" w:space="0" w:color="auto"/>
              <w:bottom w:val="single" w:sz="12" w:space="0" w:color="auto"/>
            </w:tcBorders>
            <w:vAlign w:val="center"/>
          </w:tcPr>
          <w:p w14:paraId="25275D2B" w14:textId="77777777" w:rsidR="002A3F0D" w:rsidRPr="00121832" w:rsidRDefault="002A3F0D" w:rsidP="00AC5587">
            <w:pPr>
              <w:spacing w:line="276" w:lineRule="auto"/>
              <w:jc w:val="center"/>
            </w:pPr>
            <w:r w:rsidRPr="00121832">
              <w:t>Flujo viajes [viajes/h]</w:t>
            </w:r>
          </w:p>
        </w:tc>
      </w:tr>
      <w:tr w:rsidR="002A3F0D" w:rsidRPr="00121832" w14:paraId="4E9A6CD0" w14:textId="77777777" w:rsidTr="00AC5587">
        <w:tc>
          <w:tcPr>
            <w:tcW w:w="1985" w:type="dxa"/>
            <w:tcBorders>
              <w:top w:val="single" w:sz="12" w:space="0" w:color="auto"/>
              <w:bottom w:val="single" w:sz="6" w:space="0" w:color="auto"/>
            </w:tcBorders>
            <w:vAlign w:val="center"/>
          </w:tcPr>
          <w:p w14:paraId="6B2777CE" w14:textId="77777777" w:rsidR="002A3F0D" w:rsidRPr="00121832" w:rsidRDefault="002A3F0D" w:rsidP="00AC5587">
            <w:pPr>
              <w:spacing w:line="276" w:lineRule="auto"/>
            </w:pPr>
            <w:r w:rsidRPr="00121832">
              <w:t>Básico</w:t>
            </w:r>
          </w:p>
        </w:tc>
        <w:tc>
          <w:tcPr>
            <w:tcW w:w="2977" w:type="dxa"/>
            <w:tcBorders>
              <w:top w:val="single" w:sz="12" w:space="0" w:color="auto"/>
              <w:bottom w:val="single" w:sz="6" w:space="0" w:color="auto"/>
            </w:tcBorders>
            <w:vAlign w:val="center"/>
          </w:tcPr>
          <w:p w14:paraId="642C19E3" w14:textId="77777777" w:rsidR="002A3F0D" w:rsidRPr="00121832" w:rsidRDefault="002A3F0D" w:rsidP="00AC5587">
            <w:pPr>
              <w:spacing w:line="276" w:lineRule="auto"/>
              <w:jc w:val="center"/>
            </w:pPr>
            <w:r w:rsidRPr="00121832">
              <w:t>De 20 a 80</w:t>
            </w:r>
          </w:p>
        </w:tc>
        <w:tc>
          <w:tcPr>
            <w:tcW w:w="2693" w:type="dxa"/>
            <w:tcBorders>
              <w:top w:val="single" w:sz="12" w:space="0" w:color="auto"/>
              <w:bottom w:val="single" w:sz="6" w:space="0" w:color="auto"/>
            </w:tcBorders>
            <w:vAlign w:val="center"/>
          </w:tcPr>
          <w:p w14:paraId="0AEA03A4" w14:textId="77777777" w:rsidR="002A3F0D" w:rsidRPr="00121832" w:rsidRDefault="002A3F0D" w:rsidP="00AC5587">
            <w:pPr>
              <w:spacing w:line="276" w:lineRule="auto"/>
              <w:jc w:val="center"/>
            </w:pPr>
            <w:r w:rsidRPr="00121832">
              <w:t>De 40 a 160</w:t>
            </w:r>
          </w:p>
        </w:tc>
      </w:tr>
      <w:tr w:rsidR="002A3F0D" w:rsidRPr="00121832" w14:paraId="1AB875D2" w14:textId="77777777" w:rsidTr="00AC5587">
        <w:tc>
          <w:tcPr>
            <w:tcW w:w="1985" w:type="dxa"/>
            <w:tcBorders>
              <w:top w:val="single" w:sz="6" w:space="0" w:color="auto"/>
              <w:bottom w:val="single" w:sz="6" w:space="0" w:color="auto"/>
            </w:tcBorders>
            <w:vAlign w:val="center"/>
          </w:tcPr>
          <w:p w14:paraId="154D5749" w14:textId="77777777" w:rsidR="002A3F0D" w:rsidRPr="00121832" w:rsidRDefault="002A3F0D" w:rsidP="00AC5587">
            <w:pPr>
              <w:spacing w:line="276" w:lineRule="auto"/>
            </w:pPr>
            <w:r w:rsidRPr="00121832">
              <w:t>Intermedio</w:t>
            </w:r>
          </w:p>
        </w:tc>
        <w:tc>
          <w:tcPr>
            <w:tcW w:w="2977" w:type="dxa"/>
            <w:tcBorders>
              <w:top w:val="single" w:sz="6" w:space="0" w:color="auto"/>
              <w:bottom w:val="single" w:sz="6" w:space="0" w:color="auto"/>
            </w:tcBorders>
            <w:vAlign w:val="center"/>
          </w:tcPr>
          <w:p w14:paraId="531A3853" w14:textId="77777777" w:rsidR="002A3F0D" w:rsidRPr="00121832" w:rsidRDefault="002A3F0D" w:rsidP="00AC5587">
            <w:pPr>
              <w:spacing w:line="276" w:lineRule="auto"/>
              <w:jc w:val="center"/>
            </w:pPr>
            <w:r w:rsidRPr="00121832">
              <w:t>De 81 a 200</w:t>
            </w:r>
          </w:p>
        </w:tc>
        <w:tc>
          <w:tcPr>
            <w:tcW w:w="2693" w:type="dxa"/>
            <w:tcBorders>
              <w:top w:val="single" w:sz="6" w:space="0" w:color="auto"/>
              <w:bottom w:val="single" w:sz="6" w:space="0" w:color="auto"/>
            </w:tcBorders>
            <w:vAlign w:val="center"/>
          </w:tcPr>
          <w:p w14:paraId="2FEFB9D2" w14:textId="77777777" w:rsidR="002A3F0D" w:rsidRPr="00121832" w:rsidRDefault="002A3F0D" w:rsidP="00AC5587">
            <w:pPr>
              <w:spacing w:line="276" w:lineRule="auto"/>
              <w:jc w:val="center"/>
            </w:pPr>
            <w:r w:rsidRPr="00121832">
              <w:t>De 161 a 400</w:t>
            </w:r>
          </w:p>
        </w:tc>
      </w:tr>
      <w:tr w:rsidR="002A3F0D" w:rsidRPr="00121832" w14:paraId="40D69167" w14:textId="77777777" w:rsidTr="00AC5587">
        <w:tc>
          <w:tcPr>
            <w:tcW w:w="1985" w:type="dxa"/>
            <w:tcBorders>
              <w:top w:val="single" w:sz="6" w:space="0" w:color="auto"/>
              <w:bottom w:val="single" w:sz="12" w:space="0" w:color="auto"/>
            </w:tcBorders>
            <w:vAlign w:val="center"/>
          </w:tcPr>
          <w:p w14:paraId="318CCC89" w14:textId="77777777" w:rsidR="002A3F0D" w:rsidRPr="00121832" w:rsidRDefault="002A3F0D" w:rsidP="00AC5587">
            <w:pPr>
              <w:spacing w:line="276" w:lineRule="auto"/>
            </w:pPr>
            <w:r w:rsidRPr="00121832">
              <w:t>Mayor</w:t>
            </w:r>
          </w:p>
        </w:tc>
        <w:tc>
          <w:tcPr>
            <w:tcW w:w="2977" w:type="dxa"/>
            <w:tcBorders>
              <w:top w:val="single" w:sz="6" w:space="0" w:color="auto"/>
              <w:bottom w:val="single" w:sz="12" w:space="0" w:color="auto"/>
            </w:tcBorders>
            <w:vAlign w:val="center"/>
          </w:tcPr>
          <w:p w14:paraId="018F760C" w14:textId="77777777" w:rsidR="002A3F0D" w:rsidRPr="00121832" w:rsidRDefault="002A3F0D" w:rsidP="00AC5587">
            <w:pPr>
              <w:spacing w:line="276" w:lineRule="auto"/>
              <w:jc w:val="center"/>
            </w:pPr>
            <w:r w:rsidRPr="00121832">
              <w:t>Más de 200</w:t>
            </w:r>
          </w:p>
        </w:tc>
        <w:tc>
          <w:tcPr>
            <w:tcW w:w="2693" w:type="dxa"/>
            <w:tcBorders>
              <w:top w:val="single" w:sz="6" w:space="0" w:color="auto"/>
              <w:bottom w:val="single" w:sz="12" w:space="0" w:color="auto"/>
            </w:tcBorders>
            <w:vAlign w:val="center"/>
          </w:tcPr>
          <w:p w14:paraId="77B04867" w14:textId="77777777" w:rsidR="002A3F0D" w:rsidRPr="00121832" w:rsidRDefault="002A3F0D" w:rsidP="00AC5587">
            <w:pPr>
              <w:spacing w:line="276" w:lineRule="auto"/>
              <w:jc w:val="center"/>
            </w:pPr>
            <w:r w:rsidRPr="00121832">
              <w:t>Más de 400</w:t>
            </w:r>
          </w:p>
        </w:tc>
      </w:tr>
    </w:tbl>
    <w:p w14:paraId="0294F6B6" w14:textId="77777777" w:rsidR="00704E3B" w:rsidRDefault="00704E3B" w:rsidP="00C22D5A">
      <w:pPr>
        <w:ind w:left="720"/>
        <w:jc w:val="both"/>
      </w:pPr>
    </w:p>
    <w:p w14:paraId="27C952E0" w14:textId="3825A5E1" w:rsidR="002A3F0D" w:rsidRPr="00121832" w:rsidRDefault="002A3F0D" w:rsidP="00C22D5A">
      <w:pPr>
        <w:ind w:left="720"/>
        <w:jc w:val="both"/>
      </w:pPr>
      <w:r w:rsidRPr="00121832">
        <w:t xml:space="preserve">En el caso que las estimaciones de </w:t>
      </w:r>
      <w:r w:rsidR="00704E3B">
        <w:t xml:space="preserve">flujos </w:t>
      </w:r>
      <w:r w:rsidRPr="00121832">
        <w:t>de un proyecto superen los umbrales de distintos tipos de IMIV, en uno o más períodos, deberá presentarse aquél que sea más exigente.</w:t>
      </w:r>
    </w:p>
    <w:p w14:paraId="717D1C0A" w14:textId="77777777" w:rsidR="002A3F0D" w:rsidRPr="00121832" w:rsidRDefault="00C22D5A" w:rsidP="002A3F0D">
      <w:pPr>
        <w:pStyle w:val="Prrafodelista"/>
        <w:numPr>
          <w:ilvl w:val="0"/>
          <w:numId w:val="5"/>
        </w:numPr>
        <w:spacing w:after="120" w:line="240" w:lineRule="auto"/>
        <w:contextualSpacing w:val="0"/>
        <w:jc w:val="both"/>
        <w:rPr>
          <w:u w:val="single"/>
        </w:rPr>
      </w:pPr>
      <w:r w:rsidRPr="00121832">
        <w:rPr>
          <w:u w:val="single"/>
        </w:rPr>
        <w:t>Presentación y evaluación de los IMIV</w:t>
      </w:r>
    </w:p>
    <w:p w14:paraId="67A9931B" w14:textId="79A675A1" w:rsidR="008B11B8" w:rsidRPr="00A473FE" w:rsidRDefault="00053D4D" w:rsidP="008B11B8">
      <w:pPr>
        <w:pStyle w:val="Prrafodelista"/>
        <w:spacing w:after="120" w:line="240" w:lineRule="auto"/>
        <w:contextualSpacing w:val="0"/>
        <w:jc w:val="both"/>
      </w:pPr>
      <w:r w:rsidRPr="00053D4D">
        <w:t xml:space="preserve">Todos los IMIV deberán ser ingresados al </w:t>
      </w:r>
      <w:r>
        <w:t>“</w:t>
      </w:r>
      <w:r w:rsidRPr="00094FEA">
        <w:t>Sistema de Evaluación Impacto en la Movilidad (SEIM)</w:t>
      </w:r>
      <w:r>
        <w:t>”</w:t>
      </w:r>
      <w:r w:rsidR="00704E3B">
        <w:t>.</w:t>
      </w:r>
      <w:r>
        <w:t xml:space="preserve"> </w:t>
      </w:r>
      <w:r w:rsidR="00704E3B">
        <w:t>E</w:t>
      </w:r>
      <w:r w:rsidR="002B43B7" w:rsidRPr="00053D4D">
        <w:t>n el</w:t>
      </w:r>
      <w:r w:rsidR="002B43B7" w:rsidRPr="00121832">
        <w:t xml:space="preserve"> caso de IMIV Básico</w:t>
      </w:r>
      <w:r>
        <w:t xml:space="preserve">, </w:t>
      </w:r>
      <w:r w:rsidR="002B43B7" w:rsidRPr="00121832">
        <w:t>deberá</w:t>
      </w:r>
      <w:r>
        <w:t xml:space="preserve">  ser </w:t>
      </w:r>
      <w:r w:rsidR="002B43B7" w:rsidRPr="00121832">
        <w:t>dirigido al Director de Tránsito</w:t>
      </w:r>
      <w:r>
        <w:t xml:space="preserve"> de la comuna respectiva, mientras que los </w:t>
      </w:r>
      <w:r w:rsidR="002B43B7" w:rsidRPr="00121832">
        <w:t>IMIV Intermedio y Mayor deberá</w:t>
      </w:r>
      <w:r>
        <w:t>n</w:t>
      </w:r>
      <w:r w:rsidR="002B43B7" w:rsidRPr="00121832">
        <w:t xml:space="preserve"> ser ingresado</w:t>
      </w:r>
      <w:r w:rsidR="00704E3B">
        <w:t>s</w:t>
      </w:r>
      <w:r w:rsidR="002B43B7" w:rsidRPr="00121832">
        <w:t xml:space="preserve"> por un Consultor</w:t>
      </w:r>
      <w:r w:rsidR="00A473FE">
        <w:t>,</w:t>
      </w:r>
      <w:r w:rsidR="002B43B7" w:rsidRPr="00121832">
        <w:t xml:space="preserve"> inscrito en el Registro Nacional de Consultores</w:t>
      </w:r>
      <w:r w:rsidR="008346D8">
        <w:t xml:space="preserve"> </w:t>
      </w:r>
      <w:r w:rsidR="008346D8" w:rsidRPr="00A473FE">
        <w:t xml:space="preserve">en informes </w:t>
      </w:r>
      <w:r w:rsidR="008346D8" w:rsidRPr="00A473FE">
        <w:t>de impacto vial a cargo de la Subsecretaría de Transportes, que lo administrará</w:t>
      </w:r>
      <w:r w:rsidR="00A473FE">
        <w:t xml:space="preserve">, </w:t>
      </w:r>
      <w:r w:rsidRPr="00A473FE">
        <w:t xml:space="preserve">dirigido </w:t>
      </w:r>
      <w:r w:rsidR="002B43B7" w:rsidRPr="00A473FE">
        <w:t xml:space="preserve"> al Secretario Regional Ministerial de Transportes y Telecomunicaciones.</w:t>
      </w:r>
    </w:p>
    <w:p w14:paraId="6F7D6D2A" w14:textId="64E30383" w:rsidR="00C22D5A" w:rsidRPr="00121832" w:rsidRDefault="008B11B8" w:rsidP="00C22D5A">
      <w:pPr>
        <w:pStyle w:val="Prrafodelista"/>
        <w:numPr>
          <w:ilvl w:val="0"/>
          <w:numId w:val="5"/>
        </w:numPr>
        <w:tabs>
          <w:tab w:val="left" w:pos="1701"/>
        </w:tabs>
        <w:spacing w:after="120" w:line="240" w:lineRule="auto"/>
        <w:ind w:right="51"/>
        <w:contextualSpacing w:val="0"/>
        <w:jc w:val="both"/>
        <w:rPr>
          <w:u w:val="single"/>
        </w:rPr>
      </w:pPr>
      <w:r w:rsidRPr="00121832">
        <w:rPr>
          <w:u w:val="single"/>
        </w:rPr>
        <w:t>Procedimiento</w:t>
      </w:r>
      <w:r w:rsidR="00C22D5A" w:rsidRPr="00121832">
        <w:rPr>
          <w:u w:val="single"/>
        </w:rPr>
        <w:t xml:space="preserve"> de resolución</w:t>
      </w:r>
    </w:p>
    <w:p w14:paraId="39D1D5DA" w14:textId="77777777" w:rsidR="00C22D5A" w:rsidRPr="00121832" w:rsidRDefault="00C22D5A" w:rsidP="00C22D5A">
      <w:pPr>
        <w:pStyle w:val="Prrafodelista"/>
        <w:spacing w:after="120" w:line="240" w:lineRule="auto"/>
        <w:ind w:left="708"/>
        <w:contextualSpacing w:val="0"/>
        <w:jc w:val="both"/>
      </w:pPr>
      <w:r w:rsidRPr="00121832">
        <w:t>En el caso de IMIV Básico</w:t>
      </w:r>
      <w:r w:rsidR="00053D4D">
        <w:t>,</w:t>
      </w:r>
      <w:r w:rsidRPr="00121832">
        <w:t xml:space="preserve"> será el Director de Tránsito</w:t>
      </w:r>
      <w:r w:rsidR="00053D4D">
        <w:t xml:space="preserve"> el encargado de revisar, consultar a los organismos públicos involucrados y</w:t>
      </w:r>
      <w:r w:rsidRPr="00121832">
        <w:t xml:space="preserve"> generar la resolución </w:t>
      </w:r>
      <w:r w:rsidR="00053D4D">
        <w:t xml:space="preserve">de aprobación </w:t>
      </w:r>
      <w:r w:rsidRPr="00121832">
        <w:t>correspondiente,</w:t>
      </w:r>
      <w:r w:rsidR="00053D4D">
        <w:t xml:space="preserve"> mientras que dicho procedimiento, en los casos de los</w:t>
      </w:r>
      <w:r w:rsidRPr="00121832">
        <w:t xml:space="preserve"> IMIV Intermedio y Mayor</w:t>
      </w:r>
      <w:r w:rsidR="00053D4D">
        <w:t>,</w:t>
      </w:r>
      <w:r w:rsidRPr="00121832">
        <w:t xml:space="preserve"> </w:t>
      </w:r>
      <w:r w:rsidR="00053D4D">
        <w:t xml:space="preserve">el encargado </w:t>
      </w:r>
      <w:r w:rsidRPr="00121832">
        <w:t>será el Secretario Regional Ministerial de Transportes y Telecomunicaciones.</w:t>
      </w:r>
    </w:p>
    <w:sectPr w:rsidR="00C22D5A" w:rsidRPr="00121832">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B362D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49D8"/>
    <w:multiLevelType w:val="hybridMultilevel"/>
    <w:tmpl w:val="4C281B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A564B8"/>
    <w:multiLevelType w:val="hybridMultilevel"/>
    <w:tmpl w:val="764CADFE"/>
    <w:lvl w:ilvl="0" w:tplc="81A06A08">
      <w:start w:val="1"/>
      <w:numFmt w:val="decimal"/>
      <w:lvlText w:val="%1."/>
      <w:lvlJc w:val="left"/>
      <w:pPr>
        <w:ind w:left="360" w:hanging="360"/>
      </w:pPr>
      <w:rPr>
        <w:b/>
      </w:rPr>
    </w:lvl>
    <w:lvl w:ilvl="1" w:tplc="0C0A0001">
      <w:start w:val="1"/>
      <w:numFmt w:val="bullet"/>
      <w:lvlText w:val=""/>
      <w:lvlJc w:val="left"/>
      <w:pPr>
        <w:ind w:left="1080" w:hanging="360"/>
      </w:pPr>
      <w:rPr>
        <w:rFonts w:ascii="Symbol" w:hAnsi="Symbol" w:hint="default"/>
      </w:rPr>
    </w:lvl>
    <w:lvl w:ilvl="2" w:tplc="7ED40C5E">
      <w:start w:val="1"/>
      <w:numFmt w:val="bullet"/>
      <w:lvlText w:val=""/>
      <w:lvlJc w:val="left"/>
      <w:pPr>
        <w:ind w:left="1800" w:hanging="180"/>
      </w:pPr>
      <w:rPr>
        <w:rFonts w:ascii="Symbol" w:hAnsi="Symbol"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8781429"/>
    <w:multiLevelType w:val="hybridMultilevel"/>
    <w:tmpl w:val="5A8C23E0"/>
    <w:lvl w:ilvl="0" w:tplc="C688DC22">
      <w:start w:val="2905"/>
      <w:numFmt w:val="bullet"/>
      <w:lvlText w:val="•"/>
      <w:lvlJc w:val="left"/>
      <w:pPr>
        <w:ind w:left="360" w:hanging="360"/>
      </w:pPr>
      <w:rPr>
        <w:rFonts w:ascii="Arial" w:hAnsi="Arial" w:hint="default"/>
        <w:b/>
      </w:rPr>
    </w:lvl>
    <w:lvl w:ilvl="1" w:tplc="0C0A0001">
      <w:start w:val="1"/>
      <w:numFmt w:val="bullet"/>
      <w:lvlText w:val=""/>
      <w:lvlJc w:val="left"/>
      <w:pPr>
        <w:ind w:left="1080" w:hanging="360"/>
      </w:pPr>
      <w:rPr>
        <w:rFonts w:ascii="Symbol" w:hAnsi="Symbol" w:hint="default"/>
      </w:rPr>
    </w:lvl>
    <w:lvl w:ilvl="2" w:tplc="7ED40C5E">
      <w:start w:val="1"/>
      <w:numFmt w:val="bullet"/>
      <w:lvlText w:val=""/>
      <w:lvlJc w:val="left"/>
      <w:pPr>
        <w:ind w:left="1800" w:hanging="180"/>
      </w:pPr>
      <w:rPr>
        <w:rFonts w:ascii="Symbol" w:hAnsi="Symbol"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223B7723"/>
    <w:multiLevelType w:val="hybridMultilevel"/>
    <w:tmpl w:val="4516CB2A"/>
    <w:lvl w:ilvl="0" w:tplc="FD927BA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D6B1623"/>
    <w:multiLevelType w:val="hybridMultilevel"/>
    <w:tmpl w:val="513256BE"/>
    <w:lvl w:ilvl="0" w:tplc="1702160A">
      <w:start w:val="3"/>
      <w:numFmt w:val="upperRoman"/>
      <w:lvlText w:val="TÍTULO %1."/>
      <w:lvlJc w:val="left"/>
      <w:pPr>
        <w:ind w:left="7165" w:hanging="360"/>
      </w:pPr>
      <w:rPr>
        <w:rFonts w:hint="default"/>
        <w:color w:val="auto"/>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41F573C"/>
    <w:multiLevelType w:val="hybridMultilevel"/>
    <w:tmpl w:val="B76C2C9E"/>
    <w:lvl w:ilvl="0" w:tplc="7ED40C5E">
      <w:start w:val="1"/>
      <w:numFmt w:val="bullet"/>
      <w:lvlText w:val=""/>
      <w:lvlJc w:val="left"/>
      <w:pPr>
        <w:ind w:left="1068" w:hanging="360"/>
      </w:pPr>
      <w:rPr>
        <w:rFonts w:ascii="Symbol" w:hAnsi="Symbol" w:hint="default"/>
        <w:b/>
      </w:rPr>
    </w:lvl>
    <w:lvl w:ilvl="1" w:tplc="EA1A7F98">
      <w:start w:val="1"/>
      <w:numFmt w:val="lowerLetter"/>
      <w:lvlText w:val="%2)"/>
      <w:lvlJc w:val="left"/>
      <w:pPr>
        <w:ind w:left="1788" w:hanging="360"/>
      </w:pPr>
      <w:rPr>
        <w:rFonts w:hint="default"/>
      </w:rPr>
    </w:lvl>
    <w:lvl w:ilvl="2" w:tplc="7ED40C5E">
      <w:start w:val="1"/>
      <w:numFmt w:val="bullet"/>
      <w:lvlText w:val=""/>
      <w:lvlJc w:val="left"/>
      <w:pPr>
        <w:ind w:left="2508" w:hanging="180"/>
      </w:pPr>
      <w:rPr>
        <w:rFonts w:ascii="Symbol" w:hAnsi="Symbol" w:hint="default"/>
      </w:r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3A3C48B1"/>
    <w:multiLevelType w:val="hybridMultilevel"/>
    <w:tmpl w:val="C38C76BC"/>
    <w:lvl w:ilvl="0" w:tplc="8FCE6326">
      <w:start w:val="1"/>
      <w:numFmt w:val="decimal"/>
      <w:lvlText w:val="Artículo 1.2.%1."/>
      <w:lvlJc w:val="left"/>
      <w:pPr>
        <w:ind w:left="7023" w:hanging="360"/>
      </w:pPr>
      <w:rPr>
        <w:rFonts w:ascii="Verdana" w:hAnsi="Verdana" w:hint="default"/>
        <w:color w:val="auto"/>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04842F6"/>
    <w:multiLevelType w:val="hybridMultilevel"/>
    <w:tmpl w:val="C5781E76"/>
    <w:lvl w:ilvl="0" w:tplc="0C0A0019">
      <w:start w:val="1"/>
      <w:numFmt w:val="lowerLetter"/>
      <w:lvlText w:val="%1."/>
      <w:lvlJc w:val="left"/>
      <w:pPr>
        <w:ind w:left="720" w:hanging="360"/>
      </w:pPr>
    </w:lvl>
    <w:lvl w:ilvl="1" w:tplc="34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2AC0C2E"/>
    <w:multiLevelType w:val="hybridMultilevel"/>
    <w:tmpl w:val="F1142F02"/>
    <w:lvl w:ilvl="0" w:tplc="81A06A08">
      <w:start w:val="1"/>
      <w:numFmt w:val="decimal"/>
      <w:lvlText w:val="%1."/>
      <w:lvlJc w:val="left"/>
      <w:pPr>
        <w:ind w:left="720" w:hanging="360"/>
      </w:pPr>
      <w:rPr>
        <w:b/>
      </w:rPr>
    </w:lvl>
    <w:lvl w:ilvl="1" w:tplc="EA1A7F98">
      <w:start w:val="1"/>
      <w:numFmt w:val="lowerLetter"/>
      <w:lvlText w:val="%2)"/>
      <w:lvlJc w:val="left"/>
      <w:pPr>
        <w:ind w:left="1440" w:hanging="360"/>
      </w:pPr>
      <w:rPr>
        <w:rFonts w:hint="default"/>
      </w:rPr>
    </w:lvl>
    <w:lvl w:ilvl="2" w:tplc="7ED40C5E">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AD179F6"/>
    <w:multiLevelType w:val="hybridMultilevel"/>
    <w:tmpl w:val="4E7EB394"/>
    <w:lvl w:ilvl="0" w:tplc="0C0A0001">
      <w:start w:val="1"/>
      <w:numFmt w:val="bullet"/>
      <w:lvlText w:val=""/>
      <w:lvlJc w:val="left"/>
      <w:pPr>
        <w:ind w:left="1068" w:hanging="360"/>
      </w:pPr>
      <w:rPr>
        <w:rFonts w:ascii="Symbol" w:hAnsi="Symbol" w:hint="default"/>
        <w:b/>
      </w:rPr>
    </w:lvl>
    <w:lvl w:ilvl="1" w:tplc="EA1A7F98">
      <w:start w:val="1"/>
      <w:numFmt w:val="lowerLetter"/>
      <w:lvlText w:val="%2)"/>
      <w:lvlJc w:val="left"/>
      <w:pPr>
        <w:ind w:left="1788" w:hanging="360"/>
      </w:pPr>
      <w:rPr>
        <w:rFonts w:hint="default"/>
      </w:rPr>
    </w:lvl>
    <w:lvl w:ilvl="2" w:tplc="7ED40C5E">
      <w:start w:val="1"/>
      <w:numFmt w:val="bullet"/>
      <w:lvlText w:val=""/>
      <w:lvlJc w:val="left"/>
      <w:pPr>
        <w:ind w:left="2508" w:hanging="180"/>
      </w:pPr>
      <w:rPr>
        <w:rFonts w:ascii="Symbol" w:hAnsi="Symbol" w:hint="default"/>
      </w:r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nsid w:val="4F984DC7"/>
    <w:multiLevelType w:val="hybridMultilevel"/>
    <w:tmpl w:val="C1CA1EAA"/>
    <w:lvl w:ilvl="0" w:tplc="DE2E0532">
      <w:start w:val="1"/>
      <w:numFmt w:val="lowerLetter"/>
      <w:lvlText w:val="%1."/>
      <w:lvlJc w:val="left"/>
      <w:pPr>
        <w:ind w:left="720" w:hanging="360"/>
      </w:pPr>
      <w:rPr>
        <w:b w:val="0"/>
      </w:rPr>
    </w:lvl>
    <w:lvl w:ilvl="1" w:tplc="EA1A7F98">
      <w:start w:val="1"/>
      <w:numFmt w:val="lowerLetter"/>
      <w:lvlText w:val="%2)"/>
      <w:lvlJc w:val="left"/>
      <w:pPr>
        <w:ind w:left="1440" w:hanging="360"/>
      </w:pPr>
      <w:rPr>
        <w:rFonts w:hint="default"/>
      </w:rPr>
    </w:lvl>
    <w:lvl w:ilvl="2" w:tplc="7ED40C5E">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C3D5783"/>
    <w:multiLevelType w:val="hybridMultilevel"/>
    <w:tmpl w:val="EB9A01DA"/>
    <w:lvl w:ilvl="0" w:tplc="81A06A08">
      <w:start w:val="1"/>
      <w:numFmt w:val="decimal"/>
      <w:lvlText w:val="%1."/>
      <w:lvlJc w:val="left"/>
      <w:pPr>
        <w:ind w:left="1068" w:hanging="360"/>
      </w:pPr>
      <w:rPr>
        <w:b/>
      </w:rPr>
    </w:lvl>
    <w:lvl w:ilvl="1" w:tplc="EA1A7F98">
      <w:start w:val="1"/>
      <w:numFmt w:val="lowerLetter"/>
      <w:lvlText w:val="%2)"/>
      <w:lvlJc w:val="left"/>
      <w:pPr>
        <w:ind w:left="1788" w:hanging="360"/>
      </w:pPr>
      <w:rPr>
        <w:rFonts w:hint="default"/>
      </w:rPr>
    </w:lvl>
    <w:lvl w:ilvl="2" w:tplc="7ED40C5E">
      <w:start w:val="1"/>
      <w:numFmt w:val="bullet"/>
      <w:lvlText w:val=""/>
      <w:lvlJc w:val="left"/>
      <w:pPr>
        <w:ind w:left="2508" w:hanging="180"/>
      </w:pPr>
      <w:rPr>
        <w:rFonts w:ascii="Symbol" w:hAnsi="Symbol" w:hint="default"/>
      </w:r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5F8E19D1"/>
    <w:multiLevelType w:val="hybridMultilevel"/>
    <w:tmpl w:val="168C6682"/>
    <w:lvl w:ilvl="0" w:tplc="0C0A0001">
      <w:start w:val="1"/>
      <w:numFmt w:val="bullet"/>
      <w:lvlText w:val=""/>
      <w:lvlJc w:val="left"/>
      <w:pPr>
        <w:ind w:left="360" w:hanging="360"/>
      </w:pPr>
      <w:rPr>
        <w:rFonts w:ascii="Symbol" w:hAnsi="Symbol" w:hint="default"/>
        <w:b/>
      </w:rPr>
    </w:lvl>
    <w:lvl w:ilvl="1" w:tplc="0C0A0001">
      <w:start w:val="1"/>
      <w:numFmt w:val="bullet"/>
      <w:lvlText w:val=""/>
      <w:lvlJc w:val="left"/>
      <w:pPr>
        <w:ind w:left="1080" w:hanging="360"/>
      </w:pPr>
      <w:rPr>
        <w:rFonts w:ascii="Symbol" w:hAnsi="Symbol" w:hint="default"/>
      </w:rPr>
    </w:lvl>
    <w:lvl w:ilvl="2" w:tplc="7ED40C5E">
      <w:start w:val="1"/>
      <w:numFmt w:val="bullet"/>
      <w:lvlText w:val=""/>
      <w:lvlJc w:val="left"/>
      <w:pPr>
        <w:ind w:left="1800" w:hanging="180"/>
      </w:pPr>
      <w:rPr>
        <w:rFonts w:ascii="Symbol" w:hAnsi="Symbol"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66F51A7A"/>
    <w:multiLevelType w:val="hybridMultilevel"/>
    <w:tmpl w:val="D0D888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0280475"/>
    <w:multiLevelType w:val="hybridMultilevel"/>
    <w:tmpl w:val="2918EE1C"/>
    <w:lvl w:ilvl="0" w:tplc="4C1C34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4"/>
  </w:num>
  <w:num w:numId="3">
    <w:abstractNumId w:val="11"/>
  </w:num>
  <w:num w:numId="4">
    <w:abstractNumId w:val="10"/>
  </w:num>
  <w:num w:numId="5">
    <w:abstractNumId w:val="7"/>
  </w:num>
  <w:num w:numId="6">
    <w:abstractNumId w:val="5"/>
  </w:num>
  <w:num w:numId="7">
    <w:abstractNumId w:val="9"/>
  </w:num>
  <w:num w:numId="8">
    <w:abstractNumId w:val="0"/>
  </w:num>
  <w:num w:numId="9">
    <w:abstractNumId w:val="1"/>
  </w:num>
  <w:num w:numId="10">
    <w:abstractNumId w:val="12"/>
  </w:num>
  <w:num w:numId="11">
    <w:abstractNumId w:val="2"/>
  </w:num>
  <w:num w:numId="12">
    <w:abstractNumId w:val="13"/>
  </w:num>
  <w:num w:numId="13">
    <w:abstractNumId w:val="3"/>
  </w:num>
  <w:num w:numId="14">
    <w:abstractNumId w:val="6"/>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sèle Labarthe Bordagorry">
    <w15:presenceInfo w15:providerId="AD" w15:userId="S-1-5-21-1217671427-613645655-1478062314-40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37B"/>
    <w:rsid w:val="00025295"/>
    <w:rsid w:val="000325EB"/>
    <w:rsid w:val="00051FDE"/>
    <w:rsid w:val="00053D4D"/>
    <w:rsid w:val="00061618"/>
    <w:rsid w:val="00074828"/>
    <w:rsid w:val="00094FEA"/>
    <w:rsid w:val="0009514D"/>
    <w:rsid w:val="00105477"/>
    <w:rsid w:val="00121832"/>
    <w:rsid w:val="002718FD"/>
    <w:rsid w:val="00283250"/>
    <w:rsid w:val="002A3F0D"/>
    <w:rsid w:val="002B43B7"/>
    <w:rsid w:val="003657DD"/>
    <w:rsid w:val="00366D71"/>
    <w:rsid w:val="003B61F6"/>
    <w:rsid w:val="00455ED3"/>
    <w:rsid w:val="00462B71"/>
    <w:rsid w:val="00475B32"/>
    <w:rsid w:val="00490DE0"/>
    <w:rsid w:val="004F1114"/>
    <w:rsid w:val="005273C5"/>
    <w:rsid w:val="00555C73"/>
    <w:rsid w:val="005879A6"/>
    <w:rsid w:val="00693E7D"/>
    <w:rsid w:val="006A5E13"/>
    <w:rsid w:val="006B31CE"/>
    <w:rsid w:val="00704E3B"/>
    <w:rsid w:val="00711B7C"/>
    <w:rsid w:val="007A5A47"/>
    <w:rsid w:val="007B4C35"/>
    <w:rsid w:val="007B580D"/>
    <w:rsid w:val="007D36DA"/>
    <w:rsid w:val="00831519"/>
    <w:rsid w:val="008346D8"/>
    <w:rsid w:val="00835382"/>
    <w:rsid w:val="00844FBA"/>
    <w:rsid w:val="00864ADE"/>
    <w:rsid w:val="008B11B8"/>
    <w:rsid w:val="00904D24"/>
    <w:rsid w:val="00914F6B"/>
    <w:rsid w:val="009D3A41"/>
    <w:rsid w:val="00A00304"/>
    <w:rsid w:val="00A22DDA"/>
    <w:rsid w:val="00A473FE"/>
    <w:rsid w:val="00A71A0E"/>
    <w:rsid w:val="00AD6067"/>
    <w:rsid w:val="00AD61FF"/>
    <w:rsid w:val="00AF79DA"/>
    <w:rsid w:val="00B95FEB"/>
    <w:rsid w:val="00BA2714"/>
    <w:rsid w:val="00BB5879"/>
    <w:rsid w:val="00C22D5A"/>
    <w:rsid w:val="00C464D8"/>
    <w:rsid w:val="00C7023C"/>
    <w:rsid w:val="00C7137B"/>
    <w:rsid w:val="00CF529F"/>
    <w:rsid w:val="00D46E85"/>
    <w:rsid w:val="00D73132"/>
    <w:rsid w:val="00D80906"/>
    <w:rsid w:val="00D82094"/>
    <w:rsid w:val="00DF6A63"/>
    <w:rsid w:val="00E4725E"/>
    <w:rsid w:val="00E857BA"/>
    <w:rsid w:val="00EC6F0E"/>
    <w:rsid w:val="00F10A85"/>
    <w:rsid w:val="00F14069"/>
    <w:rsid w:val="00F45B3E"/>
    <w:rsid w:val="00F6684D"/>
    <w:rsid w:val="00FE6D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3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22D5A"/>
    <w:pPr>
      <w:keepNext/>
      <w:keepLines/>
      <w:spacing w:before="480" w:after="0"/>
      <w:outlineLvl w:val="0"/>
    </w:pPr>
    <w:rPr>
      <w:rFonts w:asciiTheme="majorHAnsi" w:eastAsiaTheme="majorEastAsia" w:hAnsiTheme="majorHAnsi" w:cstheme="majorBidi"/>
      <w:b/>
      <w:bCs/>
      <w:color w:val="365F91" w:themeColor="accent1" w:themeShade="BF"/>
      <w:sz w:val="28"/>
      <w:szCs w:val="28"/>
      <w:lang w:val="es-ES_tradnl" w:eastAsia="es-ES"/>
    </w:rPr>
  </w:style>
  <w:style w:type="paragraph" w:styleId="Ttulo3">
    <w:name w:val="heading 3"/>
    <w:basedOn w:val="Normal"/>
    <w:next w:val="Normal"/>
    <w:link w:val="Ttulo3Car"/>
    <w:uiPriority w:val="9"/>
    <w:unhideWhenUsed/>
    <w:qFormat/>
    <w:rsid w:val="008B11B8"/>
    <w:pPr>
      <w:keepNext/>
      <w:keepLines/>
      <w:spacing w:before="200" w:after="0"/>
      <w:outlineLvl w:val="2"/>
    </w:pPr>
    <w:rPr>
      <w:rFonts w:asciiTheme="majorHAnsi" w:eastAsiaTheme="majorEastAsia" w:hAnsiTheme="majorHAnsi" w:cstheme="majorBidi"/>
      <w:b/>
      <w:bCs/>
      <w:color w:val="4F81BD" w:themeColor="accent1"/>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137B"/>
    <w:pPr>
      <w:ind w:left="720"/>
      <w:contextualSpacing/>
    </w:pPr>
  </w:style>
  <w:style w:type="character" w:styleId="Hipervnculo">
    <w:name w:val="Hyperlink"/>
    <w:basedOn w:val="Fuentedeprrafopredeter"/>
    <w:uiPriority w:val="99"/>
    <w:unhideWhenUsed/>
    <w:rsid w:val="00051FDE"/>
    <w:rPr>
      <w:color w:val="0000FF" w:themeColor="hyperlink"/>
      <w:u w:val="single"/>
    </w:rPr>
  </w:style>
  <w:style w:type="table" w:styleId="Tablaconcuadrcula">
    <w:name w:val="Table Grid"/>
    <w:basedOn w:val="Tablanormal"/>
    <w:uiPriority w:val="39"/>
    <w:rsid w:val="00844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8B11B8"/>
    <w:rPr>
      <w:rFonts w:asciiTheme="majorHAnsi" w:eastAsiaTheme="majorEastAsia" w:hAnsiTheme="majorHAnsi" w:cstheme="majorBidi"/>
      <w:b/>
      <w:bCs/>
      <w:color w:val="4F81BD" w:themeColor="accent1"/>
      <w:szCs w:val="20"/>
      <w:lang w:val="es-ES_tradnl" w:eastAsia="es-ES"/>
    </w:rPr>
  </w:style>
  <w:style w:type="character" w:customStyle="1" w:styleId="Ttulo1Car">
    <w:name w:val="Título 1 Car"/>
    <w:basedOn w:val="Fuentedeprrafopredeter"/>
    <w:link w:val="Ttulo1"/>
    <w:uiPriority w:val="9"/>
    <w:rsid w:val="00C22D5A"/>
    <w:rPr>
      <w:rFonts w:asciiTheme="majorHAnsi" w:eastAsiaTheme="majorEastAsia" w:hAnsiTheme="majorHAnsi" w:cstheme="majorBidi"/>
      <w:b/>
      <w:bCs/>
      <w:color w:val="365F91" w:themeColor="accent1" w:themeShade="BF"/>
      <w:sz w:val="28"/>
      <w:szCs w:val="28"/>
      <w:lang w:val="es-ES_tradnl" w:eastAsia="es-ES"/>
    </w:rPr>
  </w:style>
  <w:style w:type="paragraph" w:styleId="Textodeglobo">
    <w:name w:val="Balloon Text"/>
    <w:basedOn w:val="Normal"/>
    <w:link w:val="TextodegloboCar"/>
    <w:uiPriority w:val="99"/>
    <w:semiHidden/>
    <w:unhideWhenUsed/>
    <w:rsid w:val="00053D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3D4D"/>
    <w:rPr>
      <w:rFonts w:ascii="Tahoma" w:hAnsi="Tahoma" w:cs="Tahoma"/>
      <w:sz w:val="16"/>
      <w:szCs w:val="16"/>
    </w:rPr>
  </w:style>
  <w:style w:type="character" w:styleId="Refdecomentario">
    <w:name w:val="annotation reference"/>
    <w:basedOn w:val="Fuentedeprrafopredeter"/>
    <w:uiPriority w:val="99"/>
    <w:semiHidden/>
    <w:unhideWhenUsed/>
    <w:rsid w:val="00704E3B"/>
    <w:rPr>
      <w:sz w:val="16"/>
      <w:szCs w:val="16"/>
    </w:rPr>
  </w:style>
  <w:style w:type="paragraph" w:styleId="Textocomentario">
    <w:name w:val="annotation text"/>
    <w:basedOn w:val="Normal"/>
    <w:link w:val="TextocomentarioCar"/>
    <w:uiPriority w:val="99"/>
    <w:semiHidden/>
    <w:unhideWhenUsed/>
    <w:rsid w:val="00704E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04E3B"/>
    <w:rPr>
      <w:sz w:val="20"/>
      <w:szCs w:val="20"/>
    </w:rPr>
  </w:style>
  <w:style w:type="paragraph" w:styleId="Asuntodelcomentario">
    <w:name w:val="annotation subject"/>
    <w:basedOn w:val="Textocomentario"/>
    <w:next w:val="Textocomentario"/>
    <w:link w:val="AsuntodelcomentarioCar"/>
    <w:uiPriority w:val="99"/>
    <w:semiHidden/>
    <w:unhideWhenUsed/>
    <w:rsid w:val="00704E3B"/>
    <w:rPr>
      <w:b/>
      <w:bCs/>
    </w:rPr>
  </w:style>
  <w:style w:type="character" w:customStyle="1" w:styleId="AsuntodelcomentarioCar">
    <w:name w:val="Asunto del comentario Car"/>
    <w:basedOn w:val="TextocomentarioCar"/>
    <w:link w:val="Asuntodelcomentario"/>
    <w:uiPriority w:val="99"/>
    <w:semiHidden/>
    <w:rsid w:val="00704E3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22D5A"/>
    <w:pPr>
      <w:keepNext/>
      <w:keepLines/>
      <w:spacing w:before="480" w:after="0"/>
      <w:outlineLvl w:val="0"/>
    </w:pPr>
    <w:rPr>
      <w:rFonts w:asciiTheme="majorHAnsi" w:eastAsiaTheme="majorEastAsia" w:hAnsiTheme="majorHAnsi" w:cstheme="majorBidi"/>
      <w:b/>
      <w:bCs/>
      <w:color w:val="365F91" w:themeColor="accent1" w:themeShade="BF"/>
      <w:sz w:val="28"/>
      <w:szCs w:val="28"/>
      <w:lang w:val="es-ES_tradnl" w:eastAsia="es-ES"/>
    </w:rPr>
  </w:style>
  <w:style w:type="paragraph" w:styleId="Ttulo3">
    <w:name w:val="heading 3"/>
    <w:basedOn w:val="Normal"/>
    <w:next w:val="Normal"/>
    <w:link w:val="Ttulo3Car"/>
    <w:uiPriority w:val="9"/>
    <w:unhideWhenUsed/>
    <w:qFormat/>
    <w:rsid w:val="008B11B8"/>
    <w:pPr>
      <w:keepNext/>
      <w:keepLines/>
      <w:spacing w:before="200" w:after="0"/>
      <w:outlineLvl w:val="2"/>
    </w:pPr>
    <w:rPr>
      <w:rFonts w:asciiTheme="majorHAnsi" w:eastAsiaTheme="majorEastAsia" w:hAnsiTheme="majorHAnsi" w:cstheme="majorBidi"/>
      <w:b/>
      <w:bCs/>
      <w:color w:val="4F81BD" w:themeColor="accent1"/>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137B"/>
    <w:pPr>
      <w:ind w:left="720"/>
      <w:contextualSpacing/>
    </w:pPr>
  </w:style>
  <w:style w:type="character" w:styleId="Hipervnculo">
    <w:name w:val="Hyperlink"/>
    <w:basedOn w:val="Fuentedeprrafopredeter"/>
    <w:uiPriority w:val="99"/>
    <w:unhideWhenUsed/>
    <w:rsid w:val="00051FDE"/>
    <w:rPr>
      <w:color w:val="0000FF" w:themeColor="hyperlink"/>
      <w:u w:val="single"/>
    </w:rPr>
  </w:style>
  <w:style w:type="table" w:styleId="Tablaconcuadrcula">
    <w:name w:val="Table Grid"/>
    <w:basedOn w:val="Tablanormal"/>
    <w:uiPriority w:val="39"/>
    <w:rsid w:val="00844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8B11B8"/>
    <w:rPr>
      <w:rFonts w:asciiTheme="majorHAnsi" w:eastAsiaTheme="majorEastAsia" w:hAnsiTheme="majorHAnsi" w:cstheme="majorBidi"/>
      <w:b/>
      <w:bCs/>
      <w:color w:val="4F81BD" w:themeColor="accent1"/>
      <w:szCs w:val="20"/>
      <w:lang w:val="es-ES_tradnl" w:eastAsia="es-ES"/>
    </w:rPr>
  </w:style>
  <w:style w:type="character" w:customStyle="1" w:styleId="Ttulo1Car">
    <w:name w:val="Título 1 Car"/>
    <w:basedOn w:val="Fuentedeprrafopredeter"/>
    <w:link w:val="Ttulo1"/>
    <w:uiPriority w:val="9"/>
    <w:rsid w:val="00C22D5A"/>
    <w:rPr>
      <w:rFonts w:asciiTheme="majorHAnsi" w:eastAsiaTheme="majorEastAsia" w:hAnsiTheme="majorHAnsi" w:cstheme="majorBidi"/>
      <w:b/>
      <w:bCs/>
      <w:color w:val="365F91" w:themeColor="accent1" w:themeShade="BF"/>
      <w:sz w:val="28"/>
      <w:szCs w:val="28"/>
      <w:lang w:val="es-ES_tradnl" w:eastAsia="es-ES"/>
    </w:rPr>
  </w:style>
  <w:style w:type="paragraph" w:styleId="Textodeglobo">
    <w:name w:val="Balloon Text"/>
    <w:basedOn w:val="Normal"/>
    <w:link w:val="TextodegloboCar"/>
    <w:uiPriority w:val="99"/>
    <w:semiHidden/>
    <w:unhideWhenUsed/>
    <w:rsid w:val="00053D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3D4D"/>
    <w:rPr>
      <w:rFonts w:ascii="Tahoma" w:hAnsi="Tahoma" w:cs="Tahoma"/>
      <w:sz w:val="16"/>
      <w:szCs w:val="16"/>
    </w:rPr>
  </w:style>
  <w:style w:type="character" w:styleId="Refdecomentario">
    <w:name w:val="annotation reference"/>
    <w:basedOn w:val="Fuentedeprrafopredeter"/>
    <w:uiPriority w:val="99"/>
    <w:semiHidden/>
    <w:unhideWhenUsed/>
    <w:rsid w:val="00704E3B"/>
    <w:rPr>
      <w:sz w:val="16"/>
      <w:szCs w:val="16"/>
    </w:rPr>
  </w:style>
  <w:style w:type="paragraph" w:styleId="Textocomentario">
    <w:name w:val="annotation text"/>
    <w:basedOn w:val="Normal"/>
    <w:link w:val="TextocomentarioCar"/>
    <w:uiPriority w:val="99"/>
    <w:semiHidden/>
    <w:unhideWhenUsed/>
    <w:rsid w:val="00704E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04E3B"/>
    <w:rPr>
      <w:sz w:val="20"/>
      <w:szCs w:val="20"/>
    </w:rPr>
  </w:style>
  <w:style w:type="paragraph" w:styleId="Asuntodelcomentario">
    <w:name w:val="annotation subject"/>
    <w:basedOn w:val="Textocomentario"/>
    <w:next w:val="Textocomentario"/>
    <w:link w:val="AsuntodelcomentarioCar"/>
    <w:uiPriority w:val="99"/>
    <w:semiHidden/>
    <w:unhideWhenUsed/>
    <w:rsid w:val="00704E3B"/>
    <w:rPr>
      <w:b/>
      <w:bCs/>
    </w:rPr>
  </w:style>
  <w:style w:type="character" w:customStyle="1" w:styleId="AsuntodelcomentarioCar">
    <w:name w:val="Asunto del comentario Car"/>
    <w:basedOn w:val="TextocomentarioCar"/>
    <w:link w:val="Asuntodelcomentario"/>
    <w:uiPriority w:val="99"/>
    <w:semiHidden/>
    <w:rsid w:val="00704E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5462">
      <w:bodyDiv w:val="1"/>
      <w:marLeft w:val="0"/>
      <w:marRight w:val="0"/>
      <w:marTop w:val="0"/>
      <w:marBottom w:val="0"/>
      <w:divBdr>
        <w:top w:val="none" w:sz="0" w:space="0" w:color="auto"/>
        <w:left w:val="none" w:sz="0" w:space="0" w:color="auto"/>
        <w:bottom w:val="none" w:sz="0" w:space="0" w:color="auto"/>
        <w:right w:val="none" w:sz="0" w:space="0" w:color="auto"/>
      </w:divBdr>
    </w:div>
    <w:div w:id="187376190">
      <w:bodyDiv w:val="1"/>
      <w:marLeft w:val="0"/>
      <w:marRight w:val="0"/>
      <w:marTop w:val="0"/>
      <w:marBottom w:val="0"/>
      <w:divBdr>
        <w:top w:val="none" w:sz="0" w:space="0" w:color="auto"/>
        <w:left w:val="none" w:sz="0" w:space="0" w:color="auto"/>
        <w:bottom w:val="none" w:sz="0" w:space="0" w:color="auto"/>
        <w:right w:val="none" w:sz="0" w:space="0" w:color="auto"/>
      </w:divBdr>
    </w:div>
    <w:div w:id="510996262">
      <w:bodyDiv w:val="1"/>
      <w:marLeft w:val="0"/>
      <w:marRight w:val="0"/>
      <w:marTop w:val="0"/>
      <w:marBottom w:val="0"/>
      <w:divBdr>
        <w:top w:val="none" w:sz="0" w:space="0" w:color="auto"/>
        <w:left w:val="none" w:sz="0" w:space="0" w:color="auto"/>
        <w:bottom w:val="none" w:sz="0" w:space="0" w:color="auto"/>
        <w:right w:val="none" w:sz="0" w:space="0" w:color="auto"/>
      </w:divBdr>
    </w:div>
    <w:div w:id="525945909">
      <w:bodyDiv w:val="1"/>
      <w:marLeft w:val="0"/>
      <w:marRight w:val="0"/>
      <w:marTop w:val="0"/>
      <w:marBottom w:val="0"/>
      <w:divBdr>
        <w:top w:val="none" w:sz="0" w:space="0" w:color="auto"/>
        <w:left w:val="none" w:sz="0" w:space="0" w:color="auto"/>
        <w:bottom w:val="none" w:sz="0" w:space="0" w:color="auto"/>
        <w:right w:val="none" w:sz="0" w:space="0" w:color="auto"/>
      </w:divBdr>
    </w:div>
    <w:div w:id="859464825">
      <w:bodyDiv w:val="1"/>
      <w:marLeft w:val="0"/>
      <w:marRight w:val="0"/>
      <w:marTop w:val="0"/>
      <w:marBottom w:val="0"/>
      <w:divBdr>
        <w:top w:val="none" w:sz="0" w:space="0" w:color="auto"/>
        <w:left w:val="none" w:sz="0" w:space="0" w:color="auto"/>
        <w:bottom w:val="none" w:sz="0" w:space="0" w:color="auto"/>
        <w:right w:val="none" w:sz="0" w:space="0" w:color="auto"/>
      </w:divBdr>
    </w:div>
    <w:div w:id="923345124">
      <w:bodyDiv w:val="1"/>
      <w:marLeft w:val="0"/>
      <w:marRight w:val="0"/>
      <w:marTop w:val="0"/>
      <w:marBottom w:val="0"/>
      <w:divBdr>
        <w:top w:val="none" w:sz="0" w:space="0" w:color="auto"/>
        <w:left w:val="none" w:sz="0" w:space="0" w:color="auto"/>
        <w:bottom w:val="none" w:sz="0" w:space="0" w:color="auto"/>
        <w:right w:val="none" w:sz="0" w:space="0" w:color="auto"/>
      </w:divBdr>
    </w:div>
    <w:div w:id="967931125">
      <w:bodyDiv w:val="1"/>
      <w:marLeft w:val="0"/>
      <w:marRight w:val="0"/>
      <w:marTop w:val="0"/>
      <w:marBottom w:val="0"/>
      <w:divBdr>
        <w:top w:val="none" w:sz="0" w:space="0" w:color="auto"/>
        <w:left w:val="none" w:sz="0" w:space="0" w:color="auto"/>
        <w:bottom w:val="none" w:sz="0" w:space="0" w:color="auto"/>
        <w:right w:val="none" w:sz="0" w:space="0" w:color="auto"/>
      </w:divBdr>
    </w:div>
    <w:div w:id="1176111052">
      <w:bodyDiv w:val="1"/>
      <w:marLeft w:val="0"/>
      <w:marRight w:val="0"/>
      <w:marTop w:val="0"/>
      <w:marBottom w:val="0"/>
      <w:divBdr>
        <w:top w:val="none" w:sz="0" w:space="0" w:color="auto"/>
        <w:left w:val="none" w:sz="0" w:space="0" w:color="auto"/>
        <w:bottom w:val="none" w:sz="0" w:space="0" w:color="auto"/>
        <w:right w:val="none" w:sz="0" w:space="0" w:color="auto"/>
      </w:divBdr>
    </w:div>
    <w:div w:id="1361010266">
      <w:bodyDiv w:val="1"/>
      <w:marLeft w:val="0"/>
      <w:marRight w:val="0"/>
      <w:marTop w:val="0"/>
      <w:marBottom w:val="0"/>
      <w:divBdr>
        <w:top w:val="none" w:sz="0" w:space="0" w:color="auto"/>
        <w:left w:val="none" w:sz="0" w:space="0" w:color="auto"/>
        <w:bottom w:val="none" w:sz="0" w:space="0" w:color="auto"/>
        <w:right w:val="none" w:sz="0" w:space="0" w:color="auto"/>
      </w:divBdr>
    </w:div>
    <w:div w:id="200496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762</Words>
  <Characters>4196</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Ministerio de Vivienda y Urbanismo</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Rajevic Mosler</dc:creator>
  <cp:lastModifiedBy>Lorena Araya Carvajal</cp:lastModifiedBy>
  <cp:revision>3</cp:revision>
  <dcterms:created xsi:type="dcterms:W3CDTF">2017-01-18T20:10:00Z</dcterms:created>
  <dcterms:modified xsi:type="dcterms:W3CDTF">2017-01-18T20:49:00Z</dcterms:modified>
</cp:coreProperties>
</file>