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78A" w:rsidRDefault="00545A57" w:rsidP="00BA1F6D"/>
    <w:p w:rsidR="00BA1F6D" w:rsidRDefault="00BA1F6D" w:rsidP="00BA1F6D"/>
    <w:p w:rsidR="00BA1F6D" w:rsidRDefault="00BA1F6D" w:rsidP="00BA1F6D"/>
    <w:p w:rsidR="00BA1F6D" w:rsidRDefault="00BA1F6D" w:rsidP="00BA1F6D"/>
    <w:tbl>
      <w:tblPr>
        <w:tblStyle w:val="Tablaconcuadrcula"/>
        <w:tblW w:w="16722" w:type="dxa"/>
        <w:tblLook w:val="04A0" w:firstRow="1" w:lastRow="0" w:firstColumn="1" w:lastColumn="0" w:noHBand="0" w:noVBand="1"/>
      </w:tblPr>
      <w:tblGrid>
        <w:gridCol w:w="3256"/>
        <w:gridCol w:w="3969"/>
        <w:gridCol w:w="4961"/>
        <w:gridCol w:w="4536"/>
      </w:tblGrid>
      <w:tr w:rsidR="00FB66A3" w:rsidRPr="00CC1B1A" w:rsidTr="00FB66A3">
        <w:tc>
          <w:tcPr>
            <w:tcW w:w="16722" w:type="dxa"/>
            <w:gridSpan w:val="4"/>
            <w:tcBorders>
              <w:bottom w:val="single" w:sz="4" w:space="0" w:color="auto"/>
            </w:tcBorders>
            <w:shd w:val="clear" w:color="auto" w:fill="1F4E79" w:themeFill="accent1" w:themeFillShade="80"/>
          </w:tcPr>
          <w:p w:rsidR="00FB66A3" w:rsidRPr="00BA1F6D" w:rsidRDefault="00FB66A3" w:rsidP="00011BBC">
            <w:pPr>
              <w:spacing w:before="240" w:after="240"/>
              <w:jc w:val="center"/>
              <w:rPr>
                <w:rFonts w:ascii="Verdana" w:hAnsi="Verdana" w:cstheme="minorHAnsi"/>
                <w:b/>
                <w:color w:val="FFFFFF" w:themeColor="background1"/>
              </w:rPr>
            </w:pPr>
            <w:r w:rsidRPr="00BA1F6D">
              <w:rPr>
                <w:rFonts w:ascii="Verdana" w:hAnsi="Verdana" w:cstheme="minorHAnsi"/>
                <w:b/>
                <w:color w:val="FFFFFF" w:themeColor="background1"/>
              </w:rPr>
              <w:t xml:space="preserve">PROPUESTA DE MODIFICACIÓN DE ARTÍCULO </w:t>
            </w:r>
            <w:r w:rsidR="00011BBC">
              <w:rPr>
                <w:rFonts w:ascii="Verdana" w:hAnsi="Verdana" w:cstheme="minorHAnsi"/>
                <w:b/>
                <w:color w:val="FFFFFF" w:themeColor="background1"/>
              </w:rPr>
              <w:t>4.8.5.</w:t>
            </w:r>
            <w:r w:rsidRPr="00BA1F6D">
              <w:rPr>
                <w:rFonts w:ascii="Verdana" w:hAnsi="Verdana" w:cstheme="minorHAnsi"/>
                <w:b/>
                <w:color w:val="FFFFFF" w:themeColor="background1"/>
              </w:rPr>
              <w:t xml:space="preserve"> DE LA ORDENANZA GENERAL DE URBANISMO Y CONSTRUCCIONES, </w:t>
            </w:r>
            <w:r w:rsidR="00011BBC">
              <w:rPr>
                <w:rFonts w:ascii="Verdana" w:hAnsi="Verdana" w:cstheme="minorHAnsi"/>
                <w:b/>
                <w:color w:val="FFFFFF" w:themeColor="background1"/>
              </w:rPr>
              <w:t xml:space="preserve">EN </w:t>
            </w:r>
            <w:r w:rsidR="00011BBC" w:rsidRPr="00011BBC">
              <w:rPr>
                <w:rFonts w:ascii="Verdana" w:hAnsi="Verdana" w:cstheme="minorHAnsi"/>
                <w:b/>
                <w:color w:val="FFFFFF" w:themeColor="background1"/>
              </w:rPr>
              <w:t>MATERIA DE ALTURAS DE EDIFICACIÓN PARA TECHUMBRES DE ESTABLECIMIENTOS DEPOR</w:t>
            </w:r>
            <w:r w:rsidR="00011BBC">
              <w:rPr>
                <w:rFonts w:ascii="Verdana" w:hAnsi="Verdana" w:cstheme="minorHAnsi"/>
                <w:b/>
                <w:color w:val="FFFFFF" w:themeColor="background1"/>
              </w:rPr>
              <w:t xml:space="preserve">TIVOS DE CARACTERÍSTICAS QUE SE </w:t>
            </w:r>
            <w:r w:rsidR="00011BBC" w:rsidRPr="00011BBC">
              <w:rPr>
                <w:rFonts w:ascii="Verdana" w:hAnsi="Verdana" w:cstheme="minorHAnsi"/>
                <w:b/>
                <w:color w:val="FFFFFF" w:themeColor="background1"/>
              </w:rPr>
              <w:t>INDICAN.</w:t>
            </w:r>
          </w:p>
        </w:tc>
      </w:tr>
      <w:tr w:rsidR="00741FD6" w:rsidRPr="00CC1B1A" w:rsidTr="006F254F">
        <w:tc>
          <w:tcPr>
            <w:tcW w:w="16722" w:type="dxa"/>
            <w:gridSpan w:val="4"/>
            <w:tcBorders>
              <w:left w:val="nil"/>
              <w:right w:val="nil"/>
            </w:tcBorders>
            <w:shd w:val="clear" w:color="auto" w:fill="auto"/>
          </w:tcPr>
          <w:p w:rsidR="00741FD6" w:rsidRPr="00741FD6" w:rsidRDefault="00741FD6" w:rsidP="00741FD6">
            <w:pPr>
              <w:spacing w:before="120" w:after="120"/>
              <w:rPr>
                <w:rFonts w:ascii="Verdana" w:hAnsi="Verdana" w:cstheme="minorHAnsi"/>
                <w:b/>
              </w:rPr>
            </w:pPr>
          </w:p>
        </w:tc>
      </w:tr>
      <w:tr w:rsidR="00FB66A3" w:rsidRPr="00CC1B1A" w:rsidTr="00011BBC">
        <w:tc>
          <w:tcPr>
            <w:tcW w:w="3256" w:type="dxa"/>
            <w:shd w:val="clear" w:color="auto" w:fill="9CC2E5" w:themeFill="accent1" w:themeFillTint="99"/>
          </w:tcPr>
          <w:p w:rsidR="00FB66A3" w:rsidRPr="00CC1B1A" w:rsidRDefault="00FB66A3" w:rsidP="000654DE">
            <w:pPr>
              <w:spacing w:before="240" w:after="240"/>
              <w:jc w:val="center"/>
              <w:rPr>
                <w:rFonts w:ascii="Verdana" w:hAnsi="Verdana" w:cstheme="minorHAnsi"/>
                <w:b/>
              </w:rPr>
            </w:pPr>
            <w:r>
              <w:rPr>
                <w:rFonts w:ascii="Verdana" w:hAnsi="Verdana" w:cstheme="minorHAnsi"/>
                <w:b/>
              </w:rPr>
              <w:t>NORMA VIGENTE</w:t>
            </w:r>
          </w:p>
        </w:tc>
        <w:tc>
          <w:tcPr>
            <w:tcW w:w="3969" w:type="dxa"/>
            <w:shd w:val="clear" w:color="auto" w:fill="9CC2E5" w:themeFill="accent1" w:themeFillTint="99"/>
          </w:tcPr>
          <w:p w:rsidR="00FB66A3" w:rsidRPr="00CC1B1A" w:rsidRDefault="00FB66A3" w:rsidP="00BA1F6D">
            <w:pPr>
              <w:spacing w:before="240" w:after="240"/>
              <w:jc w:val="center"/>
              <w:rPr>
                <w:rFonts w:ascii="Verdana" w:hAnsi="Verdana" w:cstheme="minorHAnsi"/>
                <w:b/>
              </w:rPr>
            </w:pPr>
            <w:r w:rsidRPr="00CC1B1A">
              <w:rPr>
                <w:rFonts w:ascii="Verdana" w:hAnsi="Verdana" w:cstheme="minorHAnsi"/>
                <w:b/>
              </w:rPr>
              <w:t xml:space="preserve">PROPUESTA </w:t>
            </w:r>
            <w:r>
              <w:rPr>
                <w:rFonts w:ascii="Verdana" w:hAnsi="Verdana" w:cstheme="minorHAnsi"/>
                <w:b/>
              </w:rPr>
              <w:t>DDU</w:t>
            </w:r>
          </w:p>
        </w:tc>
        <w:tc>
          <w:tcPr>
            <w:tcW w:w="4961" w:type="dxa"/>
            <w:shd w:val="clear" w:color="auto" w:fill="9CC2E5" w:themeFill="accent1" w:themeFillTint="99"/>
          </w:tcPr>
          <w:p w:rsidR="00FB66A3" w:rsidRPr="00CC1B1A" w:rsidRDefault="00FB66A3" w:rsidP="000654DE">
            <w:pPr>
              <w:spacing w:before="240" w:after="240"/>
              <w:jc w:val="center"/>
              <w:rPr>
                <w:rFonts w:ascii="Verdana" w:hAnsi="Verdana" w:cstheme="minorHAnsi"/>
                <w:b/>
              </w:rPr>
            </w:pPr>
            <w:r>
              <w:rPr>
                <w:rFonts w:ascii="Verdana" w:hAnsi="Verdana" w:cstheme="minorHAnsi"/>
                <w:b/>
              </w:rPr>
              <w:t>OBSERVACIONES</w:t>
            </w:r>
          </w:p>
        </w:tc>
        <w:tc>
          <w:tcPr>
            <w:tcW w:w="4536" w:type="dxa"/>
            <w:shd w:val="clear" w:color="auto" w:fill="9CC2E5" w:themeFill="accent1" w:themeFillTint="99"/>
          </w:tcPr>
          <w:p w:rsidR="00FB66A3" w:rsidRDefault="002E651D" w:rsidP="000654DE">
            <w:pPr>
              <w:spacing w:before="240" w:after="240"/>
              <w:jc w:val="center"/>
              <w:rPr>
                <w:rFonts w:ascii="Verdana" w:hAnsi="Verdana" w:cstheme="minorHAnsi"/>
                <w:b/>
              </w:rPr>
            </w:pPr>
            <w:r>
              <w:rPr>
                <w:rFonts w:ascii="Verdana" w:hAnsi="Verdana" w:cstheme="minorHAnsi"/>
                <w:b/>
              </w:rPr>
              <w:t>TEXTO FINAL</w:t>
            </w:r>
          </w:p>
        </w:tc>
      </w:tr>
      <w:tr w:rsidR="00FB66A3" w:rsidRPr="00605EA8" w:rsidTr="00011BBC">
        <w:tc>
          <w:tcPr>
            <w:tcW w:w="3256" w:type="dxa"/>
          </w:tcPr>
          <w:p w:rsidR="00FB66A3" w:rsidRPr="00382404" w:rsidRDefault="00382404" w:rsidP="00382404">
            <w:pPr>
              <w:spacing w:before="120" w:after="180"/>
              <w:ind w:right="35"/>
              <w:jc w:val="both"/>
              <w:rPr>
                <w:rFonts w:ascii="Verdana" w:hAnsi="Verdana" w:cstheme="minorHAnsi"/>
              </w:rPr>
            </w:pPr>
            <w:r w:rsidRPr="00C97B20">
              <w:rPr>
                <w:rFonts w:ascii="Verdana" w:hAnsi="Verdana" w:cstheme="minorHAnsi"/>
              </w:rPr>
              <w:t>Artículo 4.8.5.</w:t>
            </w:r>
            <w:r>
              <w:rPr>
                <w:rFonts w:ascii="Verdana" w:hAnsi="Verdana" w:cstheme="minorHAnsi"/>
              </w:rPr>
              <w:t xml:space="preserve"> ELIMINADO</w:t>
            </w:r>
          </w:p>
        </w:tc>
        <w:tc>
          <w:tcPr>
            <w:tcW w:w="3969" w:type="dxa"/>
          </w:tcPr>
          <w:p w:rsidR="00382404" w:rsidRDefault="00382404" w:rsidP="000654DE">
            <w:pPr>
              <w:spacing w:before="180" w:after="180"/>
              <w:jc w:val="both"/>
              <w:rPr>
                <w:rFonts w:ascii="Verdana" w:hAnsi="Verdana" w:cstheme="minorHAnsi"/>
              </w:rPr>
            </w:pPr>
            <w:r>
              <w:rPr>
                <w:rFonts w:ascii="Verdana" w:hAnsi="Verdana" w:cstheme="minorHAnsi"/>
              </w:rPr>
              <w:t xml:space="preserve">Artículo 4.8.5. </w:t>
            </w:r>
            <w:r w:rsidRPr="00382404">
              <w:rPr>
                <w:rFonts w:ascii="Verdana" w:hAnsi="Verdana" w:cstheme="minorHAnsi"/>
              </w:rPr>
              <w:t xml:space="preserve">La techumbre de los establecimientos deportivos, cuyo sistema de agrupamiento sea aislado y su carga de ocupación sea igual o superior a 8.000 personas, podrán sobrepasar la altura máxima de edificación permitida por el respectivo instrumento de planificación territorial, siempre que cumpla con las rasantes correspondientes. Además, podrán sobrepasar la altura máxima de edificación permitida las oficinas de seguridad, sistemas de iluminación, audio, equipos de aire, centros de transmisión radial y televisiva que contemplen estos establecimientos, que sean de </w:t>
            </w:r>
            <w:r w:rsidRPr="00382404">
              <w:rPr>
                <w:rFonts w:ascii="Verdana" w:hAnsi="Verdana" w:cstheme="minorHAnsi"/>
              </w:rPr>
              <w:lastRenderedPageBreak/>
              <w:t xml:space="preserve">acceso restringido y no contemplen acceso a espectadores, los que nunca podrán ubicarse sobre la cubierta. </w:t>
            </w:r>
          </w:p>
          <w:p w:rsidR="00FB66A3" w:rsidRPr="00CC1B1A" w:rsidRDefault="00FB66A3" w:rsidP="000654DE">
            <w:pPr>
              <w:spacing w:before="180" w:after="180"/>
              <w:jc w:val="both"/>
              <w:rPr>
                <w:rFonts w:ascii="Verdana" w:hAnsi="Verdana" w:cstheme="minorHAnsi"/>
              </w:rPr>
            </w:pPr>
          </w:p>
        </w:tc>
        <w:tc>
          <w:tcPr>
            <w:tcW w:w="4961" w:type="dxa"/>
          </w:tcPr>
          <w:p w:rsidR="00FB66A3" w:rsidRDefault="00382404" w:rsidP="000654DE">
            <w:pPr>
              <w:spacing w:before="180" w:after="180"/>
              <w:jc w:val="both"/>
              <w:rPr>
                <w:rFonts w:ascii="Verdana" w:hAnsi="Verdana" w:cstheme="minorHAnsi"/>
              </w:rPr>
            </w:pPr>
            <w:r w:rsidRPr="00382404">
              <w:rPr>
                <w:rFonts w:ascii="Verdana" w:hAnsi="Verdana" w:cstheme="minorHAnsi"/>
                <w:b/>
                <w:u w:val="single"/>
              </w:rPr>
              <w:lastRenderedPageBreak/>
              <w:t>DDUI ÑUBLE</w:t>
            </w:r>
            <w:r>
              <w:rPr>
                <w:rFonts w:ascii="Verdana" w:hAnsi="Verdana" w:cstheme="minorHAnsi"/>
              </w:rPr>
              <w:t>:</w:t>
            </w:r>
          </w:p>
          <w:p w:rsidR="00382404" w:rsidRDefault="00382404" w:rsidP="000654DE">
            <w:pPr>
              <w:spacing w:before="180" w:after="180"/>
              <w:jc w:val="both"/>
              <w:rPr>
                <w:rFonts w:ascii="Verdana" w:hAnsi="Verdana" w:cstheme="minorHAnsi"/>
              </w:rPr>
            </w:pPr>
            <w:r w:rsidRPr="00382404">
              <w:rPr>
                <w:rFonts w:ascii="Verdana" w:hAnsi="Verdana" w:cstheme="minorHAnsi"/>
              </w:rPr>
              <w:t>No queda claro si las “oficinas de</w:t>
            </w:r>
            <w:bookmarkStart w:id="0" w:name="_GoBack"/>
            <w:bookmarkEnd w:id="0"/>
            <w:r w:rsidRPr="00382404">
              <w:rPr>
                <w:rFonts w:ascii="Verdana" w:hAnsi="Verdana" w:cstheme="minorHAnsi"/>
              </w:rPr>
              <w:t xml:space="preserve"> seguridad, sistemas de iluminación, audio, equipos de aire, centros de transmisión radial y televisiva que contemplen estos establecimientos, que sean de acceso restringido y no contemplen acceso a espectadores” también deben cumplir con las rasantes. Si no fuera el caso, y el objetivo es justamente que puedan sobrepase, ¿cuál sería la limitación?</w:t>
            </w:r>
          </w:p>
          <w:p w:rsidR="00382404" w:rsidRDefault="00382404" w:rsidP="000654DE">
            <w:pPr>
              <w:spacing w:before="180" w:after="180"/>
              <w:jc w:val="both"/>
              <w:rPr>
                <w:rFonts w:ascii="Verdana" w:hAnsi="Verdana" w:cstheme="minorHAnsi"/>
              </w:rPr>
            </w:pPr>
          </w:p>
          <w:p w:rsidR="00382404" w:rsidRDefault="00382404" w:rsidP="000654DE">
            <w:pPr>
              <w:spacing w:before="180" w:after="180"/>
              <w:jc w:val="both"/>
              <w:rPr>
                <w:rFonts w:ascii="Verdana" w:hAnsi="Verdana" w:cstheme="minorHAnsi"/>
                <w:b/>
                <w:u w:val="single"/>
              </w:rPr>
            </w:pPr>
            <w:r>
              <w:rPr>
                <w:rFonts w:ascii="Verdana" w:hAnsi="Verdana" w:cstheme="minorHAnsi"/>
                <w:b/>
                <w:u w:val="single"/>
              </w:rPr>
              <w:t>ASOCIACIÓN DE OFICINAS DE ARQUITECTURA (A.O.A.):</w:t>
            </w:r>
          </w:p>
          <w:p w:rsidR="00382404" w:rsidRDefault="00382404" w:rsidP="00382404">
            <w:pPr>
              <w:spacing w:before="180" w:after="180"/>
              <w:jc w:val="both"/>
              <w:rPr>
                <w:rFonts w:ascii="Verdana" w:hAnsi="Verdana" w:cstheme="minorHAnsi"/>
              </w:rPr>
            </w:pPr>
            <w:r w:rsidRPr="00382404">
              <w:rPr>
                <w:rFonts w:ascii="Verdana" w:hAnsi="Verdana" w:cstheme="minorHAnsi"/>
              </w:rPr>
              <w:t xml:space="preserve">No parece conveniente </w:t>
            </w:r>
            <w:r>
              <w:rPr>
                <w:rFonts w:ascii="Verdana" w:hAnsi="Verdana" w:cstheme="minorHAnsi"/>
              </w:rPr>
              <w:t xml:space="preserve">que esta disposición se limite a </w:t>
            </w:r>
            <w:r w:rsidRPr="00382404">
              <w:rPr>
                <w:rFonts w:ascii="Verdana" w:hAnsi="Verdana" w:cstheme="minorHAnsi"/>
              </w:rPr>
              <w:t xml:space="preserve">establecimientos deportivos, cuyo sistema de agrupamiento sea aislado </w:t>
            </w:r>
            <w:r w:rsidRPr="00382404">
              <w:rPr>
                <w:rFonts w:ascii="Verdana" w:hAnsi="Verdana" w:cstheme="minorHAnsi"/>
              </w:rPr>
              <w:lastRenderedPageBreak/>
              <w:t>y su carga de ocupación sea igual o superior a 8.000 personas,</w:t>
            </w:r>
            <w:r w:rsidR="003F37D0">
              <w:rPr>
                <w:rFonts w:ascii="Verdana" w:hAnsi="Verdana" w:cstheme="minorHAnsi"/>
              </w:rPr>
              <w:t xml:space="preserve"> ya que</w:t>
            </w:r>
            <w:r w:rsidRPr="00382404">
              <w:rPr>
                <w:rFonts w:ascii="Verdana" w:hAnsi="Verdana" w:cstheme="minorHAnsi"/>
              </w:rPr>
              <w:t xml:space="preserve"> hay gimnasios o multicanchas que podrían también necesitar este artículo</w:t>
            </w:r>
            <w:r w:rsidR="003F37D0">
              <w:rPr>
                <w:rFonts w:ascii="Verdana" w:hAnsi="Verdana" w:cstheme="minorHAnsi"/>
              </w:rPr>
              <w:t>.</w:t>
            </w:r>
          </w:p>
          <w:p w:rsidR="003F37D0" w:rsidRPr="00382404" w:rsidRDefault="003F37D0" w:rsidP="00382404">
            <w:pPr>
              <w:spacing w:before="180" w:after="180"/>
              <w:jc w:val="both"/>
              <w:rPr>
                <w:rFonts w:ascii="Verdana" w:hAnsi="Verdana" w:cstheme="minorHAnsi"/>
                <w:b/>
                <w:u w:val="single"/>
              </w:rPr>
            </w:pPr>
          </w:p>
          <w:p w:rsidR="00382404" w:rsidRDefault="003F37D0" w:rsidP="000654DE">
            <w:pPr>
              <w:spacing w:before="180" w:after="180"/>
              <w:jc w:val="both"/>
              <w:rPr>
                <w:rFonts w:ascii="Verdana" w:hAnsi="Verdana" w:cstheme="minorHAnsi"/>
                <w:b/>
                <w:u w:val="single"/>
              </w:rPr>
            </w:pPr>
            <w:r>
              <w:rPr>
                <w:rFonts w:ascii="Verdana" w:hAnsi="Verdana" w:cstheme="minorHAnsi"/>
              </w:rPr>
              <w:t>Propuesta de redacción: “</w:t>
            </w:r>
            <w:r w:rsidR="00382404" w:rsidRPr="00C97B20">
              <w:rPr>
                <w:rFonts w:ascii="Verdana" w:hAnsi="Verdana" w:cstheme="minorHAnsi"/>
              </w:rPr>
              <w:t>Artículo 4.8.5.</w:t>
            </w:r>
            <w:r w:rsidR="00382404">
              <w:rPr>
                <w:rFonts w:ascii="Verdana" w:hAnsi="Verdana" w:cstheme="minorHAnsi"/>
              </w:rPr>
              <w:t xml:space="preserve"> </w:t>
            </w:r>
            <w:r w:rsidR="00382404" w:rsidRPr="00C97B20">
              <w:rPr>
                <w:rFonts w:ascii="Verdana" w:hAnsi="Verdana" w:cstheme="minorHAnsi"/>
              </w:rPr>
              <w:t xml:space="preserve">La techumbre de </w:t>
            </w:r>
            <w:r w:rsidR="00382404">
              <w:rPr>
                <w:rFonts w:ascii="Verdana" w:hAnsi="Verdana" w:cstheme="minorHAnsi"/>
              </w:rPr>
              <w:t>edificaciones o</w:t>
            </w:r>
            <w:r w:rsidR="00382404" w:rsidRPr="00C97B20">
              <w:rPr>
                <w:rFonts w:ascii="Verdana" w:hAnsi="Verdana" w:cstheme="minorHAnsi"/>
              </w:rPr>
              <w:t xml:space="preserve"> establecimientos deportivos, cuyo sistema de agrupamiento sea aislado, podrán sobrepasar la altura máxima de edificación permitida por el respectivo instrumento de planificación territorial, siempre que cumpla con las rasantes correspondientes. Además, podrán sobrepasar la altura máxima de edificación permitida las oficinas de seguridad, sistemas de iluminación, audio, equipos de aire, </w:t>
            </w:r>
            <w:r w:rsidR="00382404" w:rsidRPr="002A056A">
              <w:rPr>
                <w:rFonts w:ascii="Verdana" w:hAnsi="Verdana" w:cstheme="minorHAnsi"/>
                <w:highlight w:val="yellow"/>
              </w:rPr>
              <w:t>miradores, recintos o</w:t>
            </w:r>
            <w:r w:rsidR="00382404">
              <w:rPr>
                <w:rFonts w:ascii="Verdana" w:hAnsi="Verdana" w:cstheme="minorHAnsi"/>
              </w:rPr>
              <w:t xml:space="preserve"> </w:t>
            </w:r>
            <w:r w:rsidR="00382404" w:rsidRPr="00C97B20">
              <w:rPr>
                <w:rFonts w:ascii="Verdana" w:hAnsi="Verdana" w:cstheme="minorHAnsi"/>
              </w:rPr>
              <w:t>centros de transmisión radial y televisiva</w:t>
            </w:r>
            <w:r w:rsidR="00382404">
              <w:rPr>
                <w:rFonts w:ascii="Verdana" w:hAnsi="Verdana" w:cstheme="minorHAnsi"/>
              </w:rPr>
              <w:t xml:space="preserve">, </w:t>
            </w:r>
            <w:r w:rsidR="00382404" w:rsidRPr="00C97B20">
              <w:rPr>
                <w:rFonts w:ascii="Verdana" w:hAnsi="Verdana" w:cstheme="minorHAnsi"/>
              </w:rPr>
              <w:t>que contemplen estos establecimientos</w:t>
            </w:r>
            <w:r w:rsidR="00382404">
              <w:rPr>
                <w:rFonts w:ascii="Verdana" w:hAnsi="Verdana" w:cstheme="minorHAnsi"/>
              </w:rPr>
              <w:t>, que sean de acceso restringido</w:t>
            </w:r>
            <w:r w:rsidR="00382404" w:rsidRPr="00C97B20">
              <w:rPr>
                <w:rFonts w:ascii="Verdana" w:hAnsi="Verdana" w:cstheme="minorHAnsi"/>
              </w:rPr>
              <w:t>.”</w:t>
            </w:r>
          </w:p>
          <w:p w:rsidR="00382404" w:rsidRPr="00382404" w:rsidRDefault="00382404" w:rsidP="000654DE">
            <w:pPr>
              <w:spacing w:before="180" w:after="180"/>
              <w:jc w:val="both"/>
              <w:rPr>
                <w:rFonts w:ascii="Verdana" w:hAnsi="Verdana" w:cstheme="minorHAnsi"/>
                <w:b/>
                <w:u w:val="single"/>
              </w:rPr>
            </w:pPr>
          </w:p>
        </w:tc>
        <w:tc>
          <w:tcPr>
            <w:tcW w:w="4536" w:type="dxa"/>
          </w:tcPr>
          <w:p w:rsidR="00382404" w:rsidRPr="003F37D0" w:rsidRDefault="00382404" w:rsidP="00382404">
            <w:pPr>
              <w:spacing w:before="180" w:after="180"/>
              <w:jc w:val="both"/>
              <w:rPr>
                <w:rFonts w:ascii="Verdana" w:hAnsi="Verdana" w:cstheme="minorHAnsi"/>
              </w:rPr>
            </w:pPr>
            <w:r w:rsidRPr="003F37D0">
              <w:rPr>
                <w:rFonts w:ascii="Verdana" w:hAnsi="Verdana" w:cstheme="minorHAnsi"/>
              </w:rPr>
              <w:lastRenderedPageBreak/>
              <w:t xml:space="preserve">Artículo 4.8.5. La techumbre de los establecimientos deportivos cuyo sistema de agrupamiento sea aislado y su carga de ocupación sea igual o superior a 8.000 personas podrá sobrepasar la altura máxima de edificación permitida por el respectivo instrumento de planificación territorial, siempre que cumpla con las rasantes correspondientes. Asimismo, podrán sobrepasar la altura máxima de edificación permitida por el respectivo instrumento de planificación territorial, cumpliendo con las rasantes correspondientes y ubicándose siempre bajo la cubierta de la techumbre, las oficinas de seguridad y operaciones, los sistemas de iluminación, elementos o dispositivos audiovisuales, equipos de climatización, y los espacios para la </w:t>
            </w:r>
            <w:r w:rsidRPr="003F37D0">
              <w:rPr>
                <w:rFonts w:ascii="Verdana" w:hAnsi="Verdana" w:cstheme="minorHAnsi"/>
              </w:rPr>
              <w:lastRenderedPageBreak/>
              <w:t>operación de los medios de comunicaciones, todos los cuales no podrán contemplar acceso a los espectadores.</w:t>
            </w:r>
          </w:p>
          <w:p w:rsidR="00FB66A3" w:rsidRPr="00605EA8" w:rsidRDefault="00FB66A3" w:rsidP="00382404">
            <w:pPr>
              <w:spacing w:before="180" w:after="180"/>
              <w:jc w:val="both"/>
              <w:rPr>
                <w:rFonts w:ascii="Verdana" w:hAnsi="Verdana" w:cstheme="minorHAnsi"/>
                <w:color w:val="2E74B5" w:themeColor="accent1" w:themeShade="BF"/>
              </w:rPr>
            </w:pPr>
          </w:p>
        </w:tc>
      </w:tr>
      <w:tr w:rsidR="00FB66A3" w:rsidRPr="00CC1B1A" w:rsidTr="00011BBC">
        <w:trPr>
          <w:trHeight w:val="4090"/>
        </w:trPr>
        <w:tc>
          <w:tcPr>
            <w:tcW w:w="3256" w:type="dxa"/>
          </w:tcPr>
          <w:p w:rsidR="00FB66A3" w:rsidRPr="00CC1B1A" w:rsidRDefault="00FB66A3" w:rsidP="000654DE">
            <w:pPr>
              <w:spacing w:before="180" w:after="180"/>
              <w:ind w:right="35"/>
              <w:jc w:val="both"/>
              <w:rPr>
                <w:rFonts w:ascii="Verdana" w:hAnsi="Verdana" w:cstheme="minorHAnsi"/>
              </w:rPr>
            </w:pPr>
          </w:p>
        </w:tc>
        <w:tc>
          <w:tcPr>
            <w:tcW w:w="3969" w:type="dxa"/>
          </w:tcPr>
          <w:p w:rsidR="00FB66A3" w:rsidRPr="00CC1B1A" w:rsidRDefault="00382404" w:rsidP="000654DE">
            <w:pPr>
              <w:spacing w:before="180" w:after="180"/>
              <w:jc w:val="both"/>
              <w:rPr>
                <w:rFonts w:ascii="Verdana" w:hAnsi="Verdana" w:cstheme="minorHAnsi"/>
              </w:rPr>
            </w:pPr>
            <w:r w:rsidRPr="00382404">
              <w:rPr>
                <w:rFonts w:ascii="Verdana" w:hAnsi="Verdana" w:cstheme="minorHAnsi"/>
              </w:rPr>
              <w:t>Esta excepción no será aplicable a los casos que</w:t>
            </w:r>
            <w:r>
              <w:rPr>
                <w:rFonts w:ascii="Verdana" w:hAnsi="Verdana" w:cstheme="minorHAnsi"/>
              </w:rPr>
              <w:t xml:space="preserve"> se acojan a conjunto armónico.</w:t>
            </w:r>
          </w:p>
        </w:tc>
        <w:tc>
          <w:tcPr>
            <w:tcW w:w="4961" w:type="dxa"/>
          </w:tcPr>
          <w:p w:rsidR="003F37D0" w:rsidRPr="003F37D0" w:rsidRDefault="003F37D0" w:rsidP="003F37D0">
            <w:pPr>
              <w:spacing w:before="180" w:after="180"/>
              <w:jc w:val="both"/>
              <w:rPr>
                <w:rFonts w:ascii="Verdana" w:hAnsi="Verdana" w:cstheme="minorHAnsi"/>
                <w:b/>
                <w:u w:val="single"/>
              </w:rPr>
            </w:pPr>
            <w:r w:rsidRPr="003F37D0">
              <w:rPr>
                <w:rFonts w:ascii="Verdana" w:hAnsi="Verdana" w:cstheme="minorHAnsi"/>
                <w:b/>
                <w:u w:val="single"/>
              </w:rPr>
              <w:t>ASOCIACIÓN DE OFICINAS DE ARQUITECTURA (A.O.A.):</w:t>
            </w:r>
          </w:p>
          <w:p w:rsidR="003F37D0" w:rsidRPr="003F37D0" w:rsidRDefault="003F37D0" w:rsidP="003F37D0">
            <w:pPr>
              <w:spacing w:before="180" w:after="180"/>
              <w:jc w:val="both"/>
              <w:rPr>
                <w:rFonts w:ascii="Verdana" w:hAnsi="Verdana" w:cstheme="minorHAnsi"/>
              </w:rPr>
            </w:pPr>
          </w:p>
          <w:p w:rsidR="00FB66A3" w:rsidRPr="003F37D0" w:rsidRDefault="003F37D0" w:rsidP="003F37D0">
            <w:pPr>
              <w:spacing w:before="180" w:after="180"/>
              <w:jc w:val="both"/>
              <w:rPr>
                <w:rFonts w:ascii="Verdana" w:hAnsi="Verdana" w:cstheme="minorHAnsi"/>
              </w:rPr>
            </w:pPr>
            <w:r w:rsidRPr="003F37D0">
              <w:rPr>
                <w:rFonts w:ascii="Verdana" w:hAnsi="Verdana" w:cstheme="minorHAnsi"/>
              </w:rPr>
              <w:t>No hace falta indicar que no será aplicable a conjuntos armónicos ya que al liberar la altura nunca será necesario el beneficio del 25% del conjunto armónico.</w:t>
            </w:r>
          </w:p>
        </w:tc>
        <w:tc>
          <w:tcPr>
            <w:tcW w:w="4536" w:type="dxa"/>
          </w:tcPr>
          <w:p w:rsidR="00FB66A3" w:rsidRPr="003F37D0" w:rsidRDefault="00382404" w:rsidP="000654DE">
            <w:pPr>
              <w:spacing w:before="180" w:after="180"/>
              <w:jc w:val="both"/>
              <w:rPr>
                <w:rFonts w:ascii="Verdana" w:hAnsi="Verdana" w:cstheme="minorHAnsi"/>
              </w:rPr>
            </w:pPr>
            <w:r w:rsidRPr="003F37D0">
              <w:rPr>
                <w:rFonts w:ascii="Verdana" w:hAnsi="Verdana" w:cstheme="minorHAnsi"/>
              </w:rPr>
              <w:t>La excepción a que se refiere el inciso precedente no será aplicable a los establecimientos deportivos que se acojan a Conjunto Armónico. Asimismo, los proyectos de establecimientos deportivos que se acojan a esta norma de excepción no podrán acogerse a lo dispuesto en el artículo 2.6.11. de esta Ordenanza.</w:t>
            </w:r>
          </w:p>
        </w:tc>
      </w:tr>
    </w:tbl>
    <w:p w:rsidR="00BA1F6D" w:rsidRDefault="00BA1F6D" w:rsidP="00C36AA3"/>
    <w:sectPr w:rsidR="00BA1F6D" w:rsidSect="00BA1F6D">
      <w:footerReference w:type="default" r:id="rId7"/>
      <w:headerReference w:type="first" r:id="rId8"/>
      <w:footerReference w:type="first" r:id="rId9"/>
      <w:pgSz w:w="18722" w:h="12242" w:orient="landscape" w:code="14"/>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A57" w:rsidRDefault="00545A57" w:rsidP="00BA1F6D">
      <w:pPr>
        <w:spacing w:after="0" w:line="240" w:lineRule="auto"/>
      </w:pPr>
      <w:r>
        <w:separator/>
      </w:r>
    </w:p>
  </w:endnote>
  <w:endnote w:type="continuationSeparator" w:id="0">
    <w:p w:rsidR="00545A57" w:rsidRDefault="00545A57" w:rsidP="00BA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F6D" w:rsidRDefault="00BA1F6D">
    <w:pPr>
      <w:pStyle w:val="Piedepgina"/>
    </w:pPr>
    <w:r>
      <w:t>División de Desarrollo Urbano – Departamento de Planificación y Normas Urbanas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F6D" w:rsidRDefault="00BA1F6D">
    <w:pPr>
      <w:pStyle w:val="Piedepgina"/>
    </w:pPr>
    <w:r>
      <w:t>División de Desarrollo Urbano – Departamento de Planificación y Normas Urbanas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A57" w:rsidRDefault="00545A57" w:rsidP="00BA1F6D">
      <w:pPr>
        <w:spacing w:after="0" w:line="240" w:lineRule="auto"/>
      </w:pPr>
      <w:r>
        <w:separator/>
      </w:r>
    </w:p>
  </w:footnote>
  <w:footnote w:type="continuationSeparator" w:id="0">
    <w:p w:rsidR="00545A57" w:rsidRDefault="00545A57" w:rsidP="00BA1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F6D" w:rsidRDefault="00BA1F6D">
    <w:pPr>
      <w:pStyle w:val="Encabezado"/>
    </w:pPr>
    <w:r w:rsidRPr="000E1104">
      <w:rPr>
        <w:noProof/>
        <w:lang w:eastAsia="es-CL"/>
      </w:rPr>
      <w:drawing>
        <wp:anchor distT="0" distB="0" distL="114300" distR="114300" simplePos="0" relativeHeight="251659264" behindDoc="1" locked="0" layoutInCell="1" allowOverlap="1" wp14:anchorId="29D1D636" wp14:editId="72138E0A">
          <wp:simplePos x="0" y="0"/>
          <wp:positionH relativeFrom="margin">
            <wp:align>left</wp:align>
          </wp:positionH>
          <wp:positionV relativeFrom="paragraph">
            <wp:posOffset>6985</wp:posOffset>
          </wp:positionV>
          <wp:extent cx="1209675" cy="1130935"/>
          <wp:effectExtent l="0" t="0" r="9525" b="0"/>
          <wp:wrapThrough wrapText="bothSides">
            <wp:wrapPolygon edited="0">
              <wp:start x="0" y="0"/>
              <wp:lineTo x="0" y="21103"/>
              <wp:lineTo x="21430" y="21103"/>
              <wp:lineTo x="21430" y="0"/>
              <wp:lineTo x="0" y="0"/>
            </wp:wrapPolygon>
          </wp:wrapThrough>
          <wp:docPr id="2"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1209675" cy="1130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E712A"/>
    <w:multiLevelType w:val="hybridMultilevel"/>
    <w:tmpl w:val="4BF458D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2146D92"/>
    <w:multiLevelType w:val="hybridMultilevel"/>
    <w:tmpl w:val="AC0CE47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38820CC4"/>
    <w:multiLevelType w:val="hybridMultilevel"/>
    <w:tmpl w:val="6BC283CA"/>
    <w:lvl w:ilvl="0" w:tplc="F11E8EA2">
      <w:numFmt w:val="bullet"/>
      <w:lvlText w:val="-"/>
      <w:lvlJc w:val="left"/>
      <w:pPr>
        <w:ind w:left="720" w:hanging="360"/>
      </w:pPr>
      <w:rPr>
        <w:rFonts w:ascii="Verdana" w:eastAsiaTheme="minorHAnsi" w:hAnsi="Verdana"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A9A3F06"/>
    <w:multiLevelType w:val="hybridMultilevel"/>
    <w:tmpl w:val="F162C6D0"/>
    <w:lvl w:ilvl="0" w:tplc="72F48DE8">
      <w:numFmt w:val="bullet"/>
      <w:lvlText w:val="-"/>
      <w:lvlJc w:val="left"/>
      <w:pPr>
        <w:ind w:left="720" w:hanging="360"/>
      </w:pPr>
      <w:rPr>
        <w:rFonts w:ascii="Verdana" w:eastAsia="Calibri"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D7"/>
    <w:rsid w:val="00003B73"/>
    <w:rsid w:val="00011BBC"/>
    <w:rsid w:val="00034342"/>
    <w:rsid w:val="00037923"/>
    <w:rsid w:val="0004152D"/>
    <w:rsid w:val="000816A0"/>
    <w:rsid w:val="00090733"/>
    <w:rsid w:val="000B069B"/>
    <w:rsid w:val="000B1B8B"/>
    <w:rsid w:val="000E2F43"/>
    <w:rsid w:val="000F070B"/>
    <w:rsid w:val="000F2781"/>
    <w:rsid w:val="00106D4C"/>
    <w:rsid w:val="00123972"/>
    <w:rsid w:val="001566D5"/>
    <w:rsid w:val="00173D71"/>
    <w:rsid w:val="001F23E2"/>
    <w:rsid w:val="002428D4"/>
    <w:rsid w:val="002A7DD7"/>
    <w:rsid w:val="002B3E0C"/>
    <w:rsid w:val="002B5F1F"/>
    <w:rsid w:val="002E651D"/>
    <w:rsid w:val="00305C0D"/>
    <w:rsid w:val="003373E1"/>
    <w:rsid w:val="00382404"/>
    <w:rsid w:val="003A18FB"/>
    <w:rsid w:val="003D540B"/>
    <w:rsid w:val="003D5748"/>
    <w:rsid w:val="003E037D"/>
    <w:rsid w:val="003F37D0"/>
    <w:rsid w:val="00480FFA"/>
    <w:rsid w:val="00486092"/>
    <w:rsid w:val="004C37DE"/>
    <w:rsid w:val="0050572A"/>
    <w:rsid w:val="00545A57"/>
    <w:rsid w:val="00560EB5"/>
    <w:rsid w:val="005C58B1"/>
    <w:rsid w:val="005D5BED"/>
    <w:rsid w:val="005D6982"/>
    <w:rsid w:val="005F4701"/>
    <w:rsid w:val="00605EA8"/>
    <w:rsid w:val="00617593"/>
    <w:rsid w:val="006A4E69"/>
    <w:rsid w:val="006A73F0"/>
    <w:rsid w:val="006C21DB"/>
    <w:rsid w:val="006C2EDE"/>
    <w:rsid w:val="00701F45"/>
    <w:rsid w:val="00722680"/>
    <w:rsid w:val="00741FD6"/>
    <w:rsid w:val="0074377C"/>
    <w:rsid w:val="007759B8"/>
    <w:rsid w:val="00784611"/>
    <w:rsid w:val="007C4782"/>
    <w:rsid w:val="007E1589"/>
    <w:rsid w:val="00854C94"/>
    <w:rsid w:val="00885A0F"/>
    <w:rsid w:val="008C7AD9"/>
    <w:rsid w:val="008E316D"/>
    <w:rsid w:val="008F1C04"/>
    <w:rsid w:val="00923CDF"/>
    <w:rsid w:val="0092454C"/>
    <w:rsid w:val="0093064C"/>
    <w:rsid w:val="009651D1"/>
    <w:rsid w:val="009A42DC"/>
    <w:rsid w:val="009F4DFE"/>
    <w:rsid w:val="00A551CC"/>
    <w:rsid w:val="00A568E2"/>
    <w:rsid w:val="00A7135D"/>
    <w:rsid w:val="00AF2CFE"/>
    <w:rsid w:val="00B10DF4"/>
    <w:rsid w:val="00BA1F6D"/>
    <w:rsid w:val="00BD191A"/>
    <w:rsid w:val="00BE2C6F"/>
    <w:rsid w:val="00BF34A8"/>
    <w:rsid w:val="00C03843"/>
    <w:rsid w:val="00C03E7D"/>
    <w:rsid w:val="00C0505B"/>
    <w:rsid w:val="00C36AA3"/>
    <w:rsid w:val="00C448E7"/>
    <w:rsid w:val="00C520A7"/>
    <w:rsid w:val="00CC0255"/>
    <w:rsid w:val="00CC1B1A"/>
    <w:rsid w:val="00CD192A"/>
    <w:rsid w:val="00D16B38"/>
    <w:rsid w:val="00D37425"/>
    <w:rsid w:val="00D41525"/>
    <w:rsid w:val="00D738B2"/>
    <w:rsid w:val="00D83694"/>
    <w:rsid w:val="00DB6526"/>
    <w:rsid w:val="00DC160E"/>
    <w:rsid w:val="00DE2DE6"/>
    <w:rsid w:val="00E027AC"/>
    <w:rsid w:val="00E10D5E"/>
    <w:rsid w:val="00E62BC9"/>
    <w:rsid w:val="00E67DF4"/>
    <w:rsid w:val="00E67FBB"/>
    <w:rsid w:val="00E72650"/>
    <w:rsid w:val="00EE45E7"/>
    <w:rsid w:val="00F12778"/>
    <w:rsid w:val="00F3261F"/>
    <w:rsid w:val="00F40210"/>
    <w:rsid w:val="00F66BD3"/>
    <w:rsid w:val="00FA2FB9"/>
    <w:rsid w:val="00FB2E5C"/>
    <w:rsid w:val="00FB57C6"/>
    <w:rsid w:val="00FB66A3"/>
    <w:rsid w:val="00FF49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3F64"/>
  <w15:chartTrackingRefBased/>
  <w15:docId w15:val="{530DCC4D-107B-46CF-8176-3DCF2776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7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7DD7"/>
    <w:rPr>
      <w:rFonts w:ascii="Segoe UI" w:hAnsi="Segoe UI" w:cs="Segoe UI"/>
      <w:sz w:val="18"/>
      <w:szCs w:val="18"/>
    </w:rPr>
  </w:style>
  <w:style w:type="paragraph" w:styleId="Prrafodelista">
    <w:name w:val="List Paragraph"/>
    <w:basedOn w:val="Normal"/>
    <w:uiPriority w:val="34"/>
    <w:qFormat/>
    <w:rsid w:val="00037923"/>
    <w:pPr>
      <w:ind w:left="720"/>
      <w:contextualSpacing/>
    </w:pPr>
  </w:style>
  <w:style w:type="paragraph" w:styleId="Encabezado">
    <w:name w:val="header"/>
    <w:basedOn w:val="Normal"/>
    <w:link w:val="EncabezadoCar"/>
    <w:uiPriority w:val="99"/>
    <w:unhideWhenUsed/>
    <w:rsid w:val="00BA1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F6D"/>
  </w:style>
  <w:style w:type="paragraph" w:styleId="Piedepgina">
    <w:name w:val="footer"/>
    <w:basedOn w:val="Normal"/>
    <w:link w:val="PiedepginaCar"/>
    <w:uiPriority w:val="99"/>
    <w:unhideWhenUsed/>
    <w:rsid w:val="00BA1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F6D"/>
  </w:style>
  <w:style w:type="character" w:styleId="Refdecomentario">
    <w:name w:val="annotation reference"/>
    <w:basedOn w:val="Fuentedeprrafopredeter"/>
    <w:uiPriority w:val="99"/>
    <w:semiHidden/>
    <w:unhideWhenUsed/>
    <w:rsid w:val="00F40210"/>
    <w:rPr>
      <w:sz w:val="16"/>
      <w:szCs w:val="16"/>
    </w:rPr>
  </w:style>
  <w:style w:type="paragraph" w:styleId="Textocomentario">
    <w:name w:val="annotation text"/>
    <w:basedOn w:val="Normal"/>
    <w:link w:val="TextocomentarioCar"/>
    <w:uiPriority w:val="99"/>
    <w:semiHidden/>
    <w:unhideWhenUsed/>
    <w:rsid w:val="00F402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0210"/>
    <w:rPr>
      <w:sz w:val="20"/>
      <w:szCs w:val="20"/>
    </w:rPr>
  </w:style>
  <w:style w:type="paragraph" w:styleId="Asuntodelcomentario">
    <w:name w:val="annotation subject"/>
    <w:basedOn w:val="Textocomentario"/>
    <w:next w:val="Textocomentario"/>
    <w:link w:val="AsuntodelcomentarioCar"/>
    <w:uiPriority w:val="99"/>
    <w:semiHidden/>
    <w:unhideWhenUsed/>
    <w:rsid w:val="00F40210"/>
    <w:rPr>
      <w:b/>
      <w:bCs/>
    </w:rPr>
  </w:style>
  <w:style w:type="character" w:customStyle="1" w:styleId="AsuntodelcomentarioCar">
    <w:name w:val="Asunto del comentario Car"/>
    <w:basedOn w:val="TextocomentarioCar"/>
    <w:link w:val="Asuntodelcomentario"/>
    <w:uiPriority w:val="99"/>
    <w:semiHidden/>
    <w:rsid w:val="00F402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3178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Osvaldo Duran Mena</cp:lastModifiedBy>
  <cp:revision>2</cp:revision>
  <cp:lastPrinted>2020-09-15T22:54:00Z</cp:lastPrinted>
  <dcterms:created xsi:type="dcterms:W3CDTF">2021-07-12T20:35:00Z</dcterms:created>
  <dcterms:modified xsi:type="dcterms:W3CDTF">2021-07-12T20:35:00Z</dcterms:modified>
</cp:coreProperties>
</file>