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F1B4" w14:textId="77777777" w:rsidR="0020013C" w:rsidRPr="00646AC7" w:rsidRDefault="0020013C" w:rsidP="0020013C"/>
    <w:p w14:paraId="61F68C86" w14:textId="37C78511" w:rsidR="0020013C" w:rsidRDefault="0020013C" w:rsidP="0020013C">
      <w:pPr>
        <w:jc w:val="center"/>
        <w:rPr>
          <w:rFonts w:ascii="Verdana" w:hAnsi="Verdana"/>
          <w:b/>
          <w:sz w:val="20"/>
        </w:rPr>
      </w:pPr>
    </w:p>
    <w:tbl>
      <w:tblPr>
        <w:tblStyle w:val="Tablaconcuadrcula"/>
        <w:tblW w:w="19132" w:type="dxa"/>
        <w:jc w:val="center"/>
        <w:tblLook w:val="04A0" w:firstRow="1" w:lastRow="0" w:firstColumn="1" w:lastColumn="0" w:noHBand="0" w:noVBand="1"/>
      </w:tblPr>
      <w:tblGrid>
        <w:gridCol w:w="6516"/>
        <w:gridCol w:w="6662"/>
        <w:gridCol w:w="5954"/>
      </w:tblGrid>
      <w:tr w:rsidR="00477CF4" w:rsidRPr="00536FF3" w14:paraId="00E7E19A" w14:textId="180E7D73" w:rsidTr="00442C05">
        <w:trPr>
          <w:trHeight w:val="969"/>
          <w:jc w:val="center"/>
        </w:trPr>
        <w:tc>
          <w:tcPr>
            <w:tcW w:w="19132" w:type="dxa"/>
            <w:gridSpan w:val="3"/>
            <w:shd w:val="clear" w:color="auto" w:fill="1F4E79" w:themeFill="accent1" w:themeFillShade="80"/>
            <w:vAlign w:val="center"/>
          </w:tcPr>
          <w:p w14:paraId="7EEF5986" w14:textId="762CD554" w:rsidR="00292C20" w:rsidRPr="00442C05" w:rsidRDefault="00477CF4" w:rsidP="00B114B6">
            <w:pPr>
              <w:spacing w:line="276" w:lineRule="auto"/>
              <w:jc w:val="center"/>
              <w:rPr>
                <w:rFonts w:cstheme="minorHAnsi"/>
                <w:b/>
                <w:color w:val="FFFFFF" w:themeColor="background1"/>
                <w:sz w:val="28"/>
                <w:szCs w:val="28"/>
              </w:rPr>
            </w:pPr>
            <w:r w:rsidRPr="0031395D">
              <w:rPr>
                <w:rFonts w:cstheme="minorHAnsi"/>
                <w:b/>
                <w:color w:val="FFFFFF" w:themeColor="background1"/>
                <w:sz w:val="28"/>
                <w:szCs w:val="28"/>
              </w:rPr>
              <w:t xml:space="preserve">PROPUESTA DE MODIFICACIÓN A LA ORDENANZA GENERAL DE </w:t>
            </w:r>
            <w:r w:rsidRPr="00DD6F7A">
              <w:rPr>
                <w:rFonts w:cstheme="minorHAnsi"/>
                <w:b/>
                <w:color w:val="FFFFFF" w:themeColor="background1"/>
                <w:sz w:val="28"/>
                <w:szCs w:val="28"/>
              </w:rPr>
              <w:t xml:space="preserve">URBANISMO Y CONSTRUCCIONES </w:t>
            </w:r>
            <w:r w:rsidR="00DD6F7A">
              <w:rPr>
                <w:rFonts w:cstheme="minorHAnsi"/>
                <w:b/>
                <w:color w:val="FFFFFF" w:themeColor="background1"/>
                <w:sz w:val="28"/>
                <w:szCs w:val="28"/>
              </w:rPr>
              <w:t xml:space="preserve">EN MATERIA DE </w:t>
            </w:r>
            <w:r w:rsidR="00B114B6">
              <w:rPr>
                <w:rFonts w:cstheme="minorHAnsi"/>
                <w:b/>
                <w:color w:val="FFFFFF" w:themeColor="background1"/>
                <w:sz w:val="28"/>
                <w:szCs w:val="28"/>
              </w:rPr>
              <w:t>EQUIPAMIENTO VECINAL, PARA PERMITIR QUE PUEDAN ACCEDER POR PASAJES</w:t>
            </w:r>
          </w:p>
        </w:tc>
      </w:tr>
      <w:tr w:rsidR="00477CF4" w:rsidRPr="00536FF3" w14:paraId="4BFDD0AB" w14:textId="3F4A6516" w:rsidTr="00F11323">
        <w:trPr>
          <w:trHeight w:val="666"/>
          <w:jc w:val="center"/>
        </w:trPr>
        <w:tc>
          <w:tcPr>
            <w:tcW w:w="6516" w:type="dxa"/>
            <w:shd w:val="clear" w:color="auto" w:fill="BDD6EE" w:themeFill="accent1" w:themeFillTint="66"/>
            <w:vAlign w:val="center"/>
          </w:tcPr>
          <w:p w14:paraId="4A79E9D7" w14:textId="48ABC1EA" w:rsidR="00477CF4" w:rsidRPr="00D3509B" w:rsidRDefault="00477CF4" w:rsidP="00477CF4">
            <w:pPr>
              <w:tabs>
                <w:tab w:val="left" w:pos="30"/>
              </w:tabs>
              <w:jc w:val="center"/>
              <w:rPr>
                <w:rFonts w:cstheme="minorHAnsi"/>
                <w:b/>
                <w:sz w:val="24"/>
                <w:szCs w:val="24"/>
              </w:rPr>
            </w:pPr>
            <w:r w:rsidRPr="00D3509B">
              <w:rPr>
                <w:rFonts w:cstheme="minorHAnsi"/>
                <w:b/>
                <w:sz w:val="24"/>
                <w:szCs w:val="24"/>
              </w:rPr>
              <w:t>TEXTO NORMA VIGENTE</w:t>
            </w:r>
          </w:p>
        </w:tc>
        <w:tc>
          <w:tcPr>
            <w:tcW w:w="6662" w:type="dxa"/>
            <w:shd w:val="clear" w:color="auto" w:fill="BDD6EE" w:themeFill="accent1" w:themeFillTint="66"/>
            <w:vAlign w:val="center"/>
          </w:tcPr>
          <w:p w14:paraId="420CABEE" w14:textId="721D7D88" w:rsidR="00477CF4" w:rsidRPr="00D3509B" w:rsidRDefault="00477CF4" w:rsidP="00477CF4">
            <w:pPr>
              <w:tabs>
                <w:tab w:val="left" w:pos="30"/>
              </w:tabs>
              <w:jc w:val="center"/>
              <w:rPr>
                <w:rFonts w:cstheme="minorHAnsi"/>
                <w:b/>
                <w:sz w:val="24"/>
                <w:szCs w:val="24"/>
              </w:rPr>
            </w:pPr>
            <w:r w:rsidRPr="00D3509B">
              <w:rPr>
                <w:rFonts w:cstheme="minorHAnsi"/>
                <w:b/>
                <w:sz w:val="24"/>
                <w:szCs w:val="24"/>
              </w:rPr>
              <w:t>TEXTO PROPUEST</w:t>
            </w:r>
            <w:r>
              <w:rPr>
                <w:rFonts w:cstheme="minorHAnsi"/>
                <w:b/>
                <w:sz w:val="24"/>
                <w:szCs w:val="24"/>
              </w:rPr>
              <w:t>O</w:t>
            </w:r>
          </w:p>
        </w:tc>
        <w:tc>
          <w:tcPr>
            <w:tcW w:w="5954" w:type="dxa"/>
            <w:shd w:val="clear" w:color="auto" w:fill="BDD6EE" w:themeFill="accent1" w:themeFillTint="66"/>
            <w:vAlign w:val="center"/>
          </w:tcPr>
          <w:p w14:paraId="2414DD21" w14:textId="7FC28828" w:rsidR="00477CF4" w:rsidRPr="00D3509B" w:rsidRDefault="00477CF4" w:rsidP="00477CF4">
            <w:pPr>
              <w:tabs>
                <w:tab w:val="left" w:pos="30"/>
              </w:tabs>
              <w:jc w:val="center"/>
              <w:rPr>
                <w:rFonts w:cstheme="minorHAnsi"/>
                <w:b/>
                <w:sz w:val="24"/>
                <w:szCs w:val="24"/>
              </w:rPr>
            </w:pPr>
            <w:r>
              <w:rPr>
                <w:rFonts w:cstheme="minorHAnsi"/>
                <w:b/>
                <w:sz w:val="24"/>
                <w:szCs w:val="24"/>
              </w:rPr>
              <w:t>COMENTARIOS / CONTRIBUCIONES</w:t>
            </w:r>
          </w:p>
        </w:tc>
      </w:tr>
      <w:tr w:rsidR="00AC4E0F" w:rsidRPr="00536FF3" w14:paraId="502E698E" w14:textId="750526CA" w:rsidTr="00F11323">
        <w:trPr>
          <w:trHeight w:val="290"/>
          <w:jc w:val="center"/>
        </w:trPr>
        <w:tc>
          <w:tcPr>
            <w:tcW w:w="6516" w:type="dxa"/>
          </w:tcPr>
          <w:p w14:paraId="7E5457CA" w14:textId="77777777" w:rsidR="00AC4E0F" w:rsidRPr="00AC4E0F" w:rsidRDefault="00AC4E0F" w:rsidP="00AC4E0F">
            <w:pPr>
              <w:ind w:left="164" w:right="127"/>
              <w:rPr>
                <w:sz w:val="20"/>
                <w:szCs w:val="20"/>
              </w:rPr>
            </w:pPr>
          </w:p>
          <w:p w14:paraId="3BB8783E" w14:textId="77777777" w:rsidR="000268A7" w:rsidRPr="0048230F" w:rsidRDefault="000268A7" w:rsidP="000268A7">
            <w:pPr>
              <w:jc w:val="both"/>
              <w:rPr>
                <w:rFonts w:cstheme="minorHAnsi"/>
                <w:sz w:val="20"/>
                <w:szCs w:val="20"/>
              </w:rPr>
            </w:pPr>
            <w:r w:rsidRPr="0048230F">
              <w:rPr>
                <w:rFonts w:cstheme="minorHAnsi"/>
                <w:b/>
                <w:bCs/>
                <w:sz w:val="20"/>
                <w:szCs w:val="20"/>
              </w:rPr>
              <w:t>Artículo 2.1.13.</w:t>
            </w:r>
            <w:r w:rsidRPr="0048230F">
              <w:rPr>
                <w:rFonts w:cstheme="minorHAnsi"/>
                <w:sz w:val="20"/>
                <w:szCs w:val="20"/>
              </w:rPr>
              <w:t xml:space="preserve"> Las enmiendas a que se refiere el inciso segundo del artículo 45º de la Ley General de Urbanismo y Construcciones serán elaboradas por la Municipalidad y aprobadas por el Concejo respectivo conforme a las reglas de este artículo.</w:t>
            </w:r>
          </w:p>
          <w:p w14:paraId="0DD3A24B" w14:textId="77777777" w:rsidR="000268A7" w:rsidRDefault="000268A7" w:rsidP="000268A7">
            <w:pPr>
              <w:jc w:val="both"/>
              <w:rPr>
                <w:rFonts w:cstheme="minorHAnsi"/>
                <w:sz w:val="20"/>
                <w:szCs w:val="20"/>
              </w:rPr>
            </w:pPr>
            <w:r w:rsidRPr="0048230F">
              <w:rPr>
                <w:rFonts w:cstheme="minorHAnsi"/>
                <w:sz w:val="20"/>
                <w:szCs w:val="20"/>
              </w:rPr>
              <w:t xml:space="preserve">    </w:t>
            </w:r>
            <w:r w:rsidRPr="00FD1C88">
              <w:rPr>
                <w:rFonts w:cstheme="minorHAnsi"/>
                <w:sz w:val="20"/>
                <w:szCs w:val="20"/>
              </w:rPr>
              <w:t>Para los fines previstos en el número 1. del inciso segundo, del artículo 45º de la Ley General de Urbanismo y Construcciones</w:t>
            </w:r>
            <w:r>
              <w:rPr>
                <w:rFonts w:cstheme="minorHAnsi"/>
                <w:sz w:val="20"/>
                <w:szCs w:val="20"/>
              </w:rPr>
              <w:t>, el Consejo podrá redefinir la localización del equipamiento vecinal en los barrios o sectores, para lo cual deberá cambiar los usos de suelo así establecidos en el Plan Regulador Comunal, ya sea suprimiendo algunos o permitiendo otros, en la misma zona o en otra nueva.</w:t>
            </w:r>
          </w:p>
          <w:p w14:paraId="58A1254F" w14:textId="77777777" w:rsidR="000268A7" w:rsidRDefault="000268A7" w:rsidP="000268A7">
            <w:pPr>
              <w:jc w:val="both"/>
              <w:rPr>
                <w:rFonts w:cstheme="minorHAnsi"/>
                <w:sz w:val="20"/>
                <w:szCs w:val="20"/>
              </w:rPr>
            </w:pPr>
          </w:p>
          <w:p w14:paraId="39212A02" w14:textId="77777777" w:rsidR="000268A7" w:rsidRDefault="000268A7" w:rsidP="000268A7">
            <w:pPr>
              <w:jc w:val="both"/>
              <w:rPr>
                <w:rFonts w:cstheme="minorHAnsi"/>
                <w:sz w:val="20"/>
                <w:szCs w:val="20"/>
              </w:rPr>
            </w:pPr>
          </w:p>
          <w:p w14:paraId="48554E31" w14:textId="77777777" w:rsidR="000268A7" w:rsidRDefault="000268A7" w:rsidP="000268A7">
            <w:pPr>
              <w:jc w:val="both"/>
              <w:rPr>
                <w:rFonts w:cstheme="minorHAnsi"/>
                <w:sz w:val="20"/>
                <w:szCs w:val="20"/>
              </w:rPr>
            </w:pPr>
          </w:p>
          <w:p w14:paraId="2479D912" w14:textId="77777777" w:rsidR="000268A7" w:rsidRDefault="000268A7" w:rsidP="000268A7">
            <w:pPr>
              <w:jc w:val="both"/>
              <w:rPr>
                <w:rFonts w:cstheme="minorHAnsi"/>
                <w:sz w:val="20"/>
                <w:szCs w:val="20"/>
              </w:rPr>
            </w:pPr>
            <w:r w:rsidRPr="0048230F">
              <w:rPr>
                <w:rFonts w:cstheme="minorHAnsi"/>
                <w:sz w:val="20"/>
                <w:szCs w:val="20"/>
              </w:rPr>
              <w:t xml:space="preserve">    </w:t>
            </w:r>
          </w:p>
          <w:p w14:paraId="3D41853B" w14:textId="77777777" w:rsidR="000268A7" w:rsidRDefault="000268A7" w:rsidP="000268A7">
            <w:pPr>
              <w:jc w:val="both"/>
              <w:rPr>
                <w:rFonts w:cstheme="minorHAnsi"/>
                <w:sz w:val="20"/>
                <w:szCs w:val="20"/>
              </w:rPr>
            </w:pPr>
          </w:p>
          <w:p w14:paraId="6098E230" w14:textId="718959A8" w:rsidR="000268A7" w:rsidRPr="0048230F" w:rsidRDefault="000268A7" w:rsidP="000268A7">
            <w:pPr>
              <w:jc w:val="both"/>
              <w:rPr>
                <w:rFonts w:cstheme="minorHAnsi"/>
                <w:sz w:val="20"/>
                <w:szCs w:val="20"/>
              </w:rPr>
            </w:pPr>
            <w:r w:rsidRPr="0048230F">
              <w:rPr>
                <w:rFonts w:cstheme="minorHAnsi"/>
                <w:sz w:val="20"/>
                <w:szCs w:val="20"/>
              </w:rPr>
              <w:t>Para efectos de lo dispuesto en el número 2, del inciso segundo, del citado artículo 45°, el Concejo podrá autorizar enmiendas a fin de introducir ajustes a los trazados contemplados en el Plan Regulador Comunal o en los Planes Seccionales vigentes, referidos a pasajes y vías locales o de servicio que tengan un informe favorable de la Secretaría Regional Ministerial de Vivienda y Urbanismo.</w:t>
            </w:r>
          </w:p>
          <w:p w14:paraId="642A4040" w14:textId="77777777" w:rsidR="000268A7" w:rsidRPr="0048230F" w:rsidRDefault="000268A7" w:rsidP="000268A7">
            <w:pPr>
              <w:jc w:val="both"/>
              <w:rPr>
                <w:rFonts w:cstheme="minorHAnsi"/>
                <w:sz w:val="20"/>
                <w:szCs w:val="20"/>
              </w:rPr>
            </w:pPr>
            <w:r w:rsidRPr="0048230F">
              <w:rPr>
                <w:rFonts w:cstheme="minorHAnsi"/>
                <w:sz w:val="20"/>
                <w:szCs w:val="20"/>
              </w:rPr>
              <w:t xml:space="preserve">    Para efectos de lo dispuesto en el número 3. del inciso segundo del artículo precitado, el Concejo podrá autorizar enmiendas que alteren las condiciones de edificación y urbanización del Plan Regulador Comunal o de los Seccionales vigentes, dentro de los márgenes que se señalan a continuación:</w:t>
            </w:r>
          </w:p>
          <w:p w14:paraId="43EFB7E8" w14:textId="77777777" w:rsidR="000268A7" w:rsidRPr="0048230F" w:rsidRDefault="000268A7" w:rsidP="000268A7">
            <w:pPr>
              <w:jc w:val="both"/>
              <w:rPr>
                <w:rFonts w:cstheme="minorHAnsi"/>
                <w:sz w:val="20"/>
                <w:szCs w:val="20"/>
              </w:rPr>
            </w:pPr>
          </w:p>
          <w:p w14:paraId="5E6F2542" w14:textId="77777777" w:rsidR="000268A7" w:rsidRPr="0048230F" w:rsidRDefault="000268A7" w:rsidP="000268A7">
            <w:pPr>
              <w:jc w:val="both"/>
              <w:rPr>
                <w:rFonts w:cstheme="minorHAnsi"/>
                <w:sz w:val="20"/>
                <w:szCs w:val="20"/>
              </w:rPr>
            </w:pPr>
            <w:r w:rsidRPr="0048230F">
              <w:rPr>
                <w:rFonts w:cstheme="minorHAnsi"/>
                <w:sz w:val="20"/>
                <w:szCs w:val="20"/>
              </w:rPr>
              <w:t>a)  Incrementar o disminuir hasta en un 20% la altura y la densidad.</w:t>
            </w:r>
          </w:p>
          <w:p w14:paraId="68F536FB" w14:textId="77777777" w:rsidR="000268A7" w:rsidRPr="0048230F" w:rsidRDefault="000268A7" w:rsidP="000268A7">
            <w:pPr>
              <w:jc w:val="both"/>
              <w:rPr>
                <w:rFonts w:cstheme="minorHAnsi"/>
                <w:sz w:val="20"/>
                <w:szCs w:val="20"/>
              </w:rPr>
            </w:pPr>
            <w:r w:rsidRPr="0048230F">
              <w:rPr>
                <w:rFonts w:cstheme="minorHAnsi"/>
                <w:sz w:val="20"/>
                <w:szCs w:val="20"/>
              </w:rPr>
              <w:t>b)  Incrementar o disminuir hasta en un 30% cuando se trate de coeficiente de constructibilidad, coeficiente de ocupación de suelo y tamaño predial.</w:t>
            </w:r>
          </w:p>
          <w:p w14:paraId="224B2B81" w14:textId="77777777" w:rsidR="000268A7" w:rsidRPr="0048230F" w:rsidRDefault="000268A7" w:rsidP="000268A7">
            <w:pPr>
              <w:jc w:val="both"/>
              <w:rPr>
                <w:rFonts w:cstheme="minorHAnsi"/>
                <w:sz w:val="20"/>
                <w:szCs w:val="20"/>
              </w:rPr>
            </w:pPr>
            <w:r w:rsidRPr="0048230F">
              <w:rPr>
                <w:rFonts w:cstheme="minorHAnsi"/>
                <w:sz w:val="20"/>
                <w:szCs w:val="20"/>
              </w:rPr>
              <w:t>c)  Cuando se trate de zonas con uso de suelo de equipamiento correspondiente a la clase educación, el coeficiente de ocupación de suelo podrá disminuirse hasta 0,2 y en el caso de zonas con uso de suelo de equipamiento correspondiente a la clase comercio, el coeficiente de ocupación de suelo podrá aumentarse hasta 1.</w:t>
            </w:r>
          </w:p>
          <w:p w14:paraId="38D0B20E" w14:textId="77777777" w:rsidR="000268A7" w:rsidRPr="0048230F" w:rsidRDefault="000268A7" w:rsidP="000268A7">
            <w:pPr>
              <w:jc w:val="both"/>
              <w:rPr>
                <w:rFonts w:cstheme="minorHAnsi"/>
                <w:sz w:val="20"/>
                <w:szCs w:val="20"/>
              </w:rPr>
            </w:pPr>
            <w:r w:rsidRPr="0048230F">
              <w:rPr>
                <w:rFonts w:cstheme="minorHAnsi"/>
                <w:sz w:val="20"/>
                <w:szCs w:val="20"/>
              </w:rPr>
              <w:t>d)  Disminuir hasta en un 100% los antejardines.</w:t>
            </w:r>
          </w:p>
          <w:p w14:paraId="394B93C9" w14:textId="77777777" w:rsidR="000268A7" w:rsidRPr="0048230F" w:rsidRDefault="000268A7" w:rsidP="000268A7">
            <w:pPr>
              <w:jc w:val="both"/>
              <w:rPr>
                <w:rFonts w:cstheme="minorHAnsi"/>
                <w:sz w:val="20"/>
                <w:szCs w:val="20"/>
              </w:rPr>
            </w:pPr>
            <w:r w:rsidRPr="0048230F">
              <w:rPr>
                <w:rFonts w:cstheme="minorHAnsi"/>
                <w:sz w:val="20"/>
                <w:szCs w:val="20"/>
              </w:rPr>
              <w:t>e)  Fijar alturas de cierro en su frente hacia espacios públicos o disminuirlas hasta en un 50%.</w:t>
            </w:r>
          </w:p>
          <w:p w14:paraId="2371518D" w14:textId="77777777" w:rsidR="000268A7" w:rsidRPr="0048230F" w:rsidRDefault="000268A7" w:rsidP="000268A7">
            <w:pPr>
              <w:jc w:val="both"/>
              <w:rPr>
                <w:rFonts w:cstheme="minorHAnsi"/>
                <w:sz w:val="20"/>
                <w:szCs w:val="20"/>
              </w:rPr>
            </w:pPr>
            <w:r w:rsidRPr="0048230F">
              <w:rPr>
                <w:rFonts w:cstheme="minorHAnsi"/>
                <w:sz w:val="20"/>
                <w:szCs w:val="20"/>
              </w:rPr>
              <w:t>f)  Disminuir los ochavos dentro de los márgenes establecidos en el artículo 2.5.4. de esta Ordenanza.</w:t>
            </w:r>
          </w:p>
          <w:p w14:paraId="4D52454B" w14:textId="77777777" w:rsidR="000268A7" w:rsidRPr="0048230F" w:rsidRDefault="000268A7" w:rsidP="000268A7">
            <w:pPr>
              <w:jc w:val="both"/>
              <w:rPr>
                <w:rFonts w:cstheme="minorHAnsi"/>
                <w:sz w:val="20"/>
                <w:szCs w:val="20"/>
              </w:rPr>
            </w:pPr>
            <w:r w:rsidRPr="0048230F">
              <w:rPr>
                <w:rFonts w:cstheme="minorHAnsi"/>
                <w:sz w:val="20"/>
                <w:szCs w:val="20"/>
              </w:rPr>
              <w:t>g)  Disminuir o incrementar las rasantes, dentro de los márgenes establecidos en el inciso sexto del artículo 2.6.3. de esta Ordenanza.</w:t>
            </w:r>
          </w:p>
          <w:p w14:paraId="68393B7D" w14:textId="77777777" w:rsidR="000268A7" w:rsidRPr="0048230F" w:rsidRDefault="000268A7" w:rsidP="000268A7">
            <w:pPr>
              <w:jc w:val="both"/>
              <w:rPr>
                <w:rFonts w:cstheme="minorHAnsi"/>
                <w:sz w:val="20"/>
                <w:szCs w:val="20"/>
              </w:rPr>
            </w:pPr>
            <w:r w:rsidRPr="0048230F">
              <w:rPr>
                <w:rFonts w:cstheme="minorHAnsi"/>
                <w:sz w:val="20"/>
                <w:szCs w:val="20"/>
              </w:rPr>
              <w:lastRenderedPageBreak/>
              <w:t>h)  Disminuir los distanciamientos mínimos a los medianeros hasta los márgenes establecidos en el inciso octavo del artículo 2.6.3. de esta Ordenanza.</w:t>
            </w:r>
          </w:p>
          <w:p w14:paraId="76AC242A" w14:textId="77777777" w:rsidR="000268A7" w:rsidRPr="0048230F" w:rsidRDefault="000268A7" w:rsidP="000268A7">
            <w:pPr>
              <w:jc w:val="both"/>
              <w:rPr>
                <w:rFonts w:cstheme="minorHAnsi"/>
                <w:sz w:val="20"/>
                <w:szCs w:val="20"/>
              </w:rPr>
            </w:pPr>
            <w:r w:rsidRPr="0048230F">
              <w:rPr>
                <w:rFonts w:cstheme="minorHAnsi"/>
                <w:sz w:val="20"/>
                <w:szCs w:val="20"/>
              </w:rPr>
              <w:t>i)  Incrementar o disminuir la dotación de estacionamientos.</w:t>
            </w:r>
          </w:p>
          <w:p w14:paraId="44F465D4" w14:textId="77777777" w:rsidR="000268A7" w:rsidRPr="0048230F" w:rsidRDefault="000268A7" w:rsidP="000268A7">
            <w:pPr>
              <w:jc w:val="both"/>
              <w:rPr>
                <w:rFonts w:cstheme="minorHAnsi"/>
                <w:sz w:val="20"/>
                <w:szCs w:val="20"/>
              </w:rPr>
            </w:pPr>
            <w:r w:rsidRPr="0048230F">
              <w:rPr>
                <w:rFonts w:cstheme="minorHAnsi"/>
                <w:sz w:val="20"/>
                <w:szCs w:val="20"/>
              </w:rPr>
              <w:t>j)  Fijar disposiciones relativas a cuerpos salientes de conformidad a lo establecido en el numeral 2 del artículo 2.7.1. de esta Ordenanza y disposiciones sobre los cuerpos salientes de la línea de edificación sobre los antejardines.</w:t>
            </w:r>
          </w:p>
          <w:p w14:paraId="6EF3588B" w14:textId="77777777" w:rsidR="000268A7" w:rsidRPr="0048230F" w:rsidRDefault="000268A7" w:rsidP="000268A7">
            <w:pPr>
              <w:jc w:val="both"/>
              <w:rPr>
                <w:rFonts w:cstheme="minorHAnsi"/>
                <w:sz w:val="20"/>
                <w:szCs w:val="20"/>
              </w:rPr>
            </w:pPr>
            <w:r w:rsidRPr="0048230F">
              <w:rPr>
                <w:rFonts w:cstheme="minorHAnsi"/>
                <w:sz w:val="20"/>
                <w:szCs w:val="20"/>
              </w:rPr>
              <w:t>k)  Reconocer áreas de protección de recursos de valor natural y patrimonial cultural, incluyendo las normas urbanísticas conforme al artículo 2.1.18. de esta Ordenanza.</w:t>
            </w:r>
          </w:p>
          <w:p w14:paraId="0898C73B" w14:textId="77777777" w:rsidR="000268A7" w:rsidRPr="0048230F" w:rsidRDefault="000268A7" w:rsidP="000268A7">
            <w:pPr>
              <w:jc w:val="both"/>
              <w:rPr>
                <w:rFonts w:cstheme="minorHAnsi"/>
                <w:sz w:val="20"/>
                <w:szCs w:val="20"/>
              </w:rPr>
            </w:pPr>
            <w:r w:rsidRPr="0048230F">
              <w:rPr>
                <w:rFonts w:cstheme="minorHAnsi"/>
                <w:sz w:val="20"/>
                <w:szCs w:val="20"/>
              </w:rPr>
              <w:t>l)  Reconocer o modificar las zonas no edificables para ajustarse al ordenamiento jurídico que las establezca.</w:t>
            </w:r>
          </w:p>
          <w:p w14:paraId="681FEA4A" w14:textId="77777777" w:rsidR="000268A7" w:rsidRPr="0048230F" w:rsidRDefault="000268A7" w:rsidP="000268A7">
            <w:pPr>
              <w:jc w:val="both"/>
              <w:rPr>
                <w:rFonts w:cstheme="minorHAnsi"/>
                <w:sz w:val="20"/>
                <w:szCs w:val="20"/>
              </w:rPr>
            </w:pPr>
            <w:r w:rsidRPr="0048230F">
              <w:rPr>
                <w:rFonts w:cstheme="minorHAnsi"/>
                <w:sz w:val="20"/>
                <w:szCs w:val="20"/>
              </w:rPr>
              <w:t>m)  Reclasificar o asimilar la vialidad estructurarte al nivel inmediatamente superior o inferior.</w:t>
            </w:r>
          </w:p>
          <w:p w14:paraId="2B6BFA24" w14:textId="77777777" w:rsidR="000268A7" w:rsidRPr="0048230F" w:rsidRDefault="000268A7" w:rsidP="000268A7">
            <w:pPr>
              <w:jc w:val="both"/>
              <w:rPr>
                <w:rFonts w:cstheme="minorHAnsi"/>
                <w:sz w:val="20"/>
                <w:szCs w:val="20"/>
              </w:rPr>
            </w:pPr>
            <w:r w:rsidRPr="0048230F">
              <w:rPr>
                <w:rFonts w:cstheme="minorHAnsi"/>
                <w:sz w:val="20"/>
                <w:szCs w:val="20"/>
              </w:rPr>
              <w:t>n)  Derogar o modificar disposiciones de la Ordenanza Local o el Plano, producto de modificaciones normativas o pronunciamientos de órganos competentes que afecten al instrumento.</w:t>
            </w:r>
          </w:p>
          <w:p w14:paraId="68680813" w14:textId="77777777" w:rsidR="000268A7" w:rsidRPr="0048230F" w:rsidRDefault="000268A7" w:rsidP="000268A7">
            <w:pPr>
              <w:jc w:val="both"/>
              <w:rPr>
                <w:rFonts w:cstheme="minorHAnsi"/>
                <w:sz w:val="20"/>
                <w:szCs w:val="20"/>
              </w:rPr>
            </w:pPr>
          </w:p>
          <w:p w14:paraId="7A0AA84D" w14:textId="77777777" w:rsidR="000268A7" w:rsidRPr="0048230F" w:rsidRDefault="000268A7" w:rsidP="000268A7">
            <w:pPr>
              <w:jc w:val="both"/>
              <w:rPr>
                <w:rFonts w:cstheme="minorHAnsi"/>
                <w:sz w:val="20"/>
                <w:szCs w:val="20"/>
              </w:rPr>
            </w:pPr>
            <w:r w:rsidRPr="0048230F">
              <w:rPr>
                <w:rFonts w:cstheme="minorHAnsi"/>
                <w:sz w:val="20"/>
                <w:szCs w:val="20"/>
              </w:rPr>
              <w:t xml:space="preserve">    Las enmiendas que alteren los márgenes en cada condición de edificación podrán ser ejercitadas en forma parcial, sucesiva o total dentro de la vigencia de cada Plan Regulador Comunal, pero en ningún caso la suma total de ellas podrá exceder los porcentajes antes indicados para cada condición. Las enmiendas que se aprueben conforme a este artículo deberán comprender, homogéneamente, zonas o subzonas del Plan, o bien, parte de ellas.</w:t>
            </w:r>
          </w:p>
          <w:p w14:paraId="05E7854B" w14:textId="77777777" w:rsidR="000268A7" w:rsidRPr="0048230F" w:rsidRDefault="000268A7" w:rsidP="000268A7">
            <w:pPr>
              <w:jc w:val="both"/>
              <w:rPr>
                <w:rFonts w:cstheme="minorHAnsi"/>
                <w:sz w:val="20"/>
                <w:szCs w:val="20"/>
              </w:rPr>
            </w:pPr>
            <w:r w:rsidRPr="0048230F">
              <w:rPr>
                <w:rFonts w:cstheme="minorHAnsi"/>
                <w:sz w:val="20"/>
                <w:szCs w:val="20"/>
              </w:rPr>
              <w:t xml:space="preserve">    Las enmiendas reglamentadas en el presente artículo se sujetarán al procedimiento previsto en los numerales 1 al 6 del inciso segundo del artículo 43° de la Ley General de Urbanismo y Construcciones y en los incisos tercero a quinto del mismo artículo. Una vez aprobadas tales enmiendas por el Concejo, serán promulgadas por decreto alcaldicio.</w:t>
            </w:r>
          </w:p>
          <w:p w14:paraId="059D6CA2" w14:textId="1DF13057" w:rsidR="003103CF" w:rsidRPr="003103CF" w:rsidRDefault="000268A7" w:rsidP="000268A7">
            <w:pPr>
              <w:spacing w:line="276" w:lineRule="auto"/>
              <w:ind w:left="164" w:right="172"/>
              <w:jc w:val="both"/>
              <w:rPr>
                <w:sz w:val="20"/>
                <w:szCs w:val="20"/>
              </w:rPr>
            </w:pPr>
            <w:r w:rsidRPr="0048230F">
              <w:rPr>
                <w:rFonts w:cstheme="minorHAnsi"/>
                <w:sz w:val="20"/>
                <w:szCs w:val="20"/>
              </w:rPr>
              <w:t xml:space="preserve">    Las enmiendas estarán exentas de cumplir con lo dispuesto en el artículo 28° </w:t>
            </w:r>
            <w:proofErr w:type="spellStart"/>
            <w:r w:rsidRPr="0048230F">
              <w:rPr>
                <w:rFonts w:cstheme="minorHAnsi"/>
                <w:sz w:val="20"/>
                <w:szCs w:val="20"/>
              </w:rPr>
              <w:t>octies</w:t>
            </w:r>
            <w:proofErr w:type="spellEnd"/>
            <w:r w:rsidRPr="0048230F">
              <w:rPr>
                <w:rFonts w:cstheme="minorHAnsi"/>
                <w:sz w:val="20"/>
                <w:szCs w:val="20"/>
              </w:rPr>
              <w:t xml:space="preserve"> de la referida Ley General, debiendo en todo caso dar cumplimiento a lo dispuesto en el artículo 28 </w:t>
            </w:r>
            <w:proofErr w:type="spellStart"/>
            <w:r w:rsidRPr="0048230F">
              <w:rPr>
                <w:rFonts w:cstheme="minorHAnsi"/>
                <w:sz w:val="20"/>
                <w:szCs w:val="20"/>
              </w:rPr>
              <w:t>septies</w:t>
            </w:r>
            <w:proofErr w:type="spellEnd"/>
            <w:r w:rsidRPr="0048230F">
              <w:rPr>
                <w:rFonts w:cstheme="minorHAnsi"/>
                <w:sz w:val="20"/>
                <w:szCs w:val="20"/>
              </w:rPr>
              <w:t xml:space="preserve"> de dicha ley, referido al acceso a la información de los Instrumentos de Planificación Territorial.</w:t>
            </w:r>
          </w:p>
        </w:tc>
        <w:tc>
          <w:tcPr>
            <w:tcW w:w="6662" w:type="dxa"/>
          </w:tcPr>
          <w:p w14:paraId="4EE2D698" w14:textId="77777777" w:rsidR="00AC4E0F" w:rsidRPr="00AC4E0F" w:rsidRDefault="00AC4E0F" w:rsidP="00AC4E0F">
            <w:pPr>
              <w:ind w:left="164" w:right="127"/>
              <w:rPr>
                <w:sz w:val="20"/>
                <w:szCs w:val="20"/>
              </w:rPr>
            </w:pPr>
          </w:p>
          <w:p w14:paraId="6960BDE3" w14:textId="77777777" w:rsidR="000268A7" w:rsidRPr="0048230F" w:rsidRDefault="000268A7" w:rsidP="000268A7">
            <w:pPr>
              <w:jc w:val="both"/>
              <w:rPr>
                <w:rFonts w:cstheme="minorHAnsi"/>
                <w:sz w:val="20"/>
                <w:szCs w:val="20"/>
              </w:rPr>
            </w:pPr>
            <w:r w:rsidRPr="0048230F">
              <w:rPr>
                <w:rFonts w:cstheme="minorHAnsi"/>
                <w:b/>
                <w:bCs/>
                <w:sz w:val="20"/>
                <w:szCs w:val="20"/>
              </w:rPr>
              <w:t>Artículo 2.1.13.</w:t>
            </w:r>
            <w:r w:rsidRPr="0048230F">
              <w:rPr>
                <w:rFonts w:cstheme="minorHAnsi"/>
                <w:sz w:val="20"/>
                <w:szCs w:val="20"/>
              </w:rPr>
              <w:t xml:space="preserve"> Las enmiendas a que se refiere el inciso segundo del artículo 45º de la Ley General de Urbanismo y Construcciones serán elaboradas por la Municipalidad y aprobadas por el Concejo respectivo conforme a las reglas de este artículo.</w:t>
            </w:r>
          </w:p>
          <w:p w14:paraId="3F6195D7" w14:textId="580AD8B0" w:rsidR="000268A7" w:rsidRPr="00FD1C88" w:rsidRDefault="000268A7" w:rsidP="000268A7">
            <w:pPr>
              <w:jc w:val="both"/>
              <w:rPr>
                <w:rFonts w:cstheme="minorHAnsi"/>
                <w:color w:val="FF0000"/>
                <w:sz w:val="20"/>
                <w:szCs w:val="20"/>
              </w:rPr>
            </w:pPr>
            <w:r w:rsidRPr="0048230F">
              <w:rPr>
                <w:rFonts w:cstheme="minorHAnsi"/>
                <w:sz w:val="20"/>
                <w:szCs w:val="20"/>
              </w:rPr>
              <w:t xml:space="preserve">    Para los fines previstos en el número 1. del inciso segundo, del artículo 45º de la Ley General de Urbanismo y Construcciones, </w:t>
            </w:r>
            <w:r w:rsidRPr="000268A7">
              <w:rPr>
                <w:rFonts w:cstheme="minorHAnsi"/>
                <w:strike/>
                <w:sz w:val="20"/>
                <w:szCs w:val="20"/>
              </w:rPr>
              <w:t>el Consejo</w:t>
            </w:r>
            <w:r w:rsidRPr="000268A7">
              <w:rPr>
                <w:rFonts w:cstheme="minorHAnsi"/>
                <w:strike/>
                <w:color w:val="FF0000"/>
                <w:sz w:val="20"/>
                <w:szCs w:val="20"/>
                <w:highlight w:val="yellow"/>
              </w:rPr>
              <w:t xml:space="preserve"> </w:t>
            </w:r>
            <w:r w:rsidRPr="000268A7">
              <w:rPr>
                <w:rFonts w:cstheme="minorHAnsi"/>
                <w:color w:val="FF0000"/>
                <w:sz w:val="20"/>
                <w:szCs w:val="20"/>
                <w:highlight w:val="yellow"/>
              </w:rPr>
              <w:t>la municipalidad</w:t>
            </w:r>
            <w:r w:rsidRPr="000268A7">
              <w:rPr>
                <w:rFonts w:cstheme="minorHAnsi"/>
                <w:color w:val="FF0000"/>
                <w:sz w:val="20"/>
                <w:szCs w:val="20"/>
              </w:rPr>
              <w:t xml:space="preserve"> </w:t>
            </w:r>
            <w:r w:rsidRPr="000268A7">
              <w:rPr>
                <w:rFonts w:cstheme="minorHAnsi"/>
                <w:sz w:val="20"/>
                <w:szCs w:val="20"/>
              </w:rPr>
              <w:t xml:space="preserve">podrá redefinir la localización de un equipamiento vecinal </w:t>
            </w:r>
            <w:r w:rsidRPr="000268A7">
              <w:rPr>
                <w:rFonts w:cstheme="minorHAnsi"/>
                <w:color w:val="FF0000"/>
                <w:sz w:val="20"/>
                <w:szCs w:val="20"/>
              </w:rPr>
              <w:t xml:space="preserve">existente </w:t>
            </w:r>
            <w:r w:rsidRPr="000268A7">
              <w:rPr>
                <w:rFonts w:cstheme="minorHAnsi"/>
                <w:sz w:val="20"/>
                <w:szCs w:val="20"/>
              </w:rPr>
              <w:t>en los barrios o sectores, para lo cual</w:t>
            </w:r>
            <w:r>
              <w:rPr>
                <w:rFonts w:cstheme="minorHAnsi"/>
                <w:sz w:val="20"/>
                <w:szCs w:val="20"/>
              </w:rPr>
              <w:t xml:space="preserve"> </w:t>
            </w:r>
            <w:r w:rsidRPr="000268A7">
              <w:rPr>
                <w:rFonts w:cstheme="minorHAnsi"/>
                <w:strike/>
                <w:sz w:val="20"/>
                <w:szCs w:val="20"/>
              </w:rPr>
              <w:t>deberá</w:t>
            </w:r>
            <w:r w:rsidRPr="00FD1C88">
              <w:rPr>
                <w:rFonts w:cstheme="minorHAnsi"/>
                <w:sz w:val="20"/>
                <w:szCs w:val="20"/>
                <w:highlight w:val="yellow"/>
              </w:rPr>
              <w:t xml:space="preserve"> </w:t>
            </w:r>
            <w:r w:rsidRPr="00FD1C88">
              <w:rPr>
                <w:rFonts w:cstheme="minorHAnsi"/>
                <w:color w:val="FF0000"/>
                <w:sz w:val="20"/>
                <w:szCs w:val="20"/>
                <w:highlight w:val="yellow"/>
              </w:rPr>
              <w:t xml:space="preserve">sea necesario </w:t>
            </w:r>
            <w:r w:rsidRPr="000268A7">
              <w:rPr>
                <w:rFonts w:cstheme="minorHAnsi"/>
                <w:sz w:val="20"/>
                <w:szCs w:val="20"/>
              </w:rPr>
              <w:t>cambiar los usos de suelo establecidos en el Plan Regulador Comunal</w:t>
            </w:r>
            <w:r>
              <w:rPr>
                <w:rFonts w:cstheme="minorHAnsi"/>
                <w:sz w:val="20"/>
                <w:szCs w:val="20"/>
              </w:rPr>
              <w:t xml:space="preserve">, </w:t>
            </w:r>
            <w:r w:rsidRPr="000268A7">
              <w:rPr>
                <w:rFonts w:cstheme="minorHAnsi"/>
                <w:strike/>
                <w:sz w:val="20"/>
                <w:szCs w:val="20"/>
              </w:rPr>
              <w:t>ya sea suprimiendo algunos o permitiendo otros, en la misma zona o en otra nueva</w:t>
            </w:r>
            <w:r w:rsidRPr="000268A7">
              <w:rPr>
                <w:rFonts w:cstheme="minorHAnsi"/>
                <w:sz w:val="20"/>
                <w:szCs w:val="20"/>
              </w:rPr>
              <w:t xml:space="preserve"> </w:t>
            </w:r>
            <w:r w:rsidRPr="00FD1C88">
              <w:rPr>
                <w:rFonts w:cstheme="minorHAnsi"/>
                <w:color w:val="FF0000"/>
                <w:sz w:val="20"/>
                <w:szCs w:val="20"/>
                <w:highlight w:val="yellow"/>
              </w:rPr>
              <w:t>en su nuevo lugar de destino, el que quedará destinado exclusivamente a equipamiento vecinal. Las normas en el terreno en que se localizaba originalmente el equipamiento vecinal, podrán asimilarse al</w:t>
            </w:r>
            <w:r w:rsidRPr="00FD1C88">
              <w:rPr>
                <w:color w:val="FF0000"/>
                <w:highlight w:val="yellow"/>
              </w:rPr>
              <w:t xml:space="preserve"> </w:t>
            </w:r>
            <w:r w:rsidRPr="00FD1C88">
              <w:rPr>
                <w:rFonts w:cstheme="minorHAnsi"/>
                <w:color w:val="FF0000"/>
                <w:sz w:val="20"/>
                <w:szCs w:val="20"/>
                <w:highlight w:val="yellow"/>
              </w:rPr>
              <w:t>de la zona predominante de las adyacentes al terreno, o bien, podrán mantenerse las que estaban vigentes en la zona que lo afectaba.</w:t>
            </w:r>
          </w:p>
          <w:p w14:paraId="1DBE33EC" w14:textId="77777777" w:rsidR="000268A7" w:rsidRPr="0048230F" w:rsidRDefault="000268A7" w:rsidP="000268A7">
            <w:pPr>
              <w:jc w:val="both"/>
              <w:rPr>
                <w:rFonts w:cstheme="minorHAnsi"/>
                <w:sz w:val="20"/>
                <w:szCs w:val="20"/>
              </w:rPr>
            </w:pPr>
            <w:r w:rsidRPr="0048230F">
              <w:rPr>
                <w:rFonts w:cstheme="minorHAnsi"/>
                <w:sz w:val="20"/>
                <w:szCs w:val="20"/>
              </w:rPr>
              <w:t xml:space="preserve">    Para efectos de lo dispuesto en el número 2, del inciso segundo, del citado artículo 45°, el Concejo podrá autorizar enmiendas a fin de introducir ajustes a los trazados contemplados en el Plan Regulador Comunal o en los Planes Seccionales vigentes, referidos a pasajes y vías locales o de servicio que tengan un informe favorable de la Secretaría Regional Ministerial de Vivienda y Urbanismo.</w:t>
            </w:r>
          </w:p>
          <w:p w14:paraId="24DA9DE8" w14:textId="77777777" w:rsidR="000268A7" w:rsidRPr="0048230F" w:rsidRDefault="000268A7" w:rsidP="000268A7">
            <w:pPr>
              <w:jc w:val="both"/>
              <w:rPr>
                <w:rFonts w:cstheme="minorHAnsi"/>
                <w:sz w:val="20"/>
                <w:szCs w:val="20"/>
              </w:rPr>
            </w:pPr>
            <w:r w:rsidRPr="0048230F">
              <w:rPr>
                <w:rFonts w:cstheme="minorHAnsi"/>
                <w:sz w:val="20"/>
                <w:szCs w:val="20"/>
              </w:rPr>
              <w:t xml:space="preserve">    Para efectos de lo dispuesto en el número 3. del inciso segundo del artículo precitado, el Concejo podrá autorizar enmiendas que alteren las condiciones de edificación y urbanización del Plan Regulador Comunal o de los Seccionales vigentes, dentro de los márgenes que se señalan a continuación:</w:t>
            </w:r>
          </w:p>
          <w:p w14:paraId="71E89775" w14:textId="77777777" w:rsidR="000268A7" w:rsidRPr="0048230F" w:rsidRDefault="000268A7" w:rsidP="000268A7">
            <w:pPr>
              <w:jc w:val="both"/>
              <w:rPr>
                <w:rFonts w:cstheme="minorHAnsi"/>
                <w:sz w:val="20"/>
                <w:szCs w:val="20"/>
              </w:rPr>
            </w:pPr>
          </w:p>
          <w:p w14:paraId="03075CF7" w14:textId="77777777" w:rsidR="000268A7" w:rsidRPr="0048230F" w:rsidRDefault="000268A7" w:rsidP="000268A7">
            <w:pPr>
              <w:jc w:val="both"/>
              <w:rPr>
                <w:rFonts w:cstheme="minorHAnsi"/>
                <w:sz w:val="20"/>
                <w:szCs w:val="20"/>
              </w:rPr>
            </w:pPr>
            <w:r w:rsidRPr="0048230F">
              <w:rPr>
                <w:rFonts w:cstheme="minorHAnsi"/>
                <w:sz w:val="20"/>
                <w:szCs w:val="20"/>
              </w:rPr>
              <w:t>a)  Incrementar o disminuir hasta en un 20% la altura y la densidad.</w:t>
            </w:r>
          </w:p>
          <w:p w14:paraId="4C863424" w14:textId="77777777" w:rsidR="000268A7" w:rsidRPr="0048230F" w:rsidRDefault="000268A7" w:rsidP="000268A7">
            <w:pPr>
              <w:jc w:val="both"/>
              <w:rPr>
                <w:rFonts w:cstheme="minorHAnsi"/>
                <w:sz w:val="20"/>
                <w:szCs w:val="20"/>
              </w:rPr>
            </w:pPr>
            <w:r w:rsidRPr="0048230F">
              <w:rPr>
                <w:rFonts w:cstheme="minorHAnsi"/>
                <w:sz w:val="20"/>
                <w:szCs w:val="20"/>
              </w:rPr>
              <w:t>b)  Incrementar o disminuir hasta en un 30% cuando se trate de coeficiente de constructibilidad, coeficiente de ocupación de suelo y tamaño predial.</w:t>
            </w:r>
          </w:p>
          <w:p w14:paraId="538B1CB3" w14:textId="77777777" w:rsidR="000268A7" w:rsidRPr="0048230F" w:rsidRDefault="000268A7" w:rsidP="000268A7">
            <w:pPr>
              <w:jc w:val="both"/>
              <w:rPr>
                <w:rFonts w:cstheme="minorHAnsi"/>
                <w:sz w:val="20"/>
                <w:szCs w:val="20"/>
              </w:rPr>
            </w:pPr>
            <w:r w:rsidRPr="0048230F">
              <w:rPr>
                <w:rFonts w:cstheme="minorHAnsi"/>
                <w:sz w:val="20"/>
                <w:szCs w:val="20"/>
              </w:rPr>
              <w:t>c)  Cuando se trate de zonas con uso de suelo de equipamiento correspondiente a la clase educación, el coeficiente de ocupación de suelo podrá disminuirse hasta 0,2 y en el caso de zonas con uso de suelo de equipamiento correspondiente a la clase comercio, el coeficiente de ocupación de suelo podrá aumentarse hasta 1.</w:t>
            </w:r>
          </w:p>
          <w:p w14:paraId="1AD8E4C8" w14:textId="77777777" w:rsidR="000268A7" w:rsidRPr="0048230F" w:rsidRDefault="000268A7" w:rsidP="000268A7">
            <w:pPr>
              <w:jc w:val="both"/>
              <w:rPr>
                <w:rFonts w:cstheme="minorHAnsi"/>
                <w:sz w:val="20"/>
                <w:szCs w:val="20"/>
              </w:rPr>
            </w:pPr>
            <w:r w:rsidRPr="0048230F">
              <w:rPr>
                <w:rFonts w:cstheme="minorHAnsi"/>
                <w:sz w:val="20"/>
                <w:szCs w:val="20"/>
              </w:rPr>
              <w:t>d)  Disminuir hasta en un 100% los antejardines.</w:t>
            </w:r>
          </w:p>
          <w:p w14:paraId="0DCD99C3" w14:textId="77777777" w:rsidR="000268A7" w:rsidRPr="0048230F" w:rsidRDefault="000268A7" w:rsidP="000268A7">
            <w:pPr>
              <w:jc w:val="both"/>
              <w:rPr>
                <w:rFonts w:cstheme="minorHAnsi"/>
                <w:sz w:val="20"/>
                <w:szCs w:val="20"/>
              </w:rPr>
            </w:pPr>
            <w:r w:rsidRPr="0048230F">
              <w:rPr>
                <w:rFonts w:cstheme="minorHAnsi"/>
                <w:sz w:val="20"/>
                <w:szCs w:val="20"/>
              </w:rPr>
              <w:t>e)  Fijar alturas de cierro en su frente hacia espacios públicos o disminuirlas hasta en un 50%.</w:t>
            </w:r>
          </w:p>
          <w:p w14:paraId="23907DCC" w14:textId="77777777" w:rsidR="000268A7" w:rsidRPr="0048230F" w:rsidRDefault="000268A7" w:rsidP="000268A7">
            <w:pPr>
              <w:jc w:val="both"/>
              <w:rPr>
                <w:rFonts w:cstheme="minorHAnsi"/>
                <w:sz w:val="20"/>
                <w:szCs w:val="20"/>
              </w:rPr>
            </w:pPr>
            <w:r w:rsidRPr="0048230F">
              <w:rPr>
                <w:rFonts w:cstheme="minorHAnsi"/>
                <w:sz w:val="20"/>
                <w:szCs w:val="20"/>
              </w:rPr>
              <w:t>f)  Disminuir los ochavos dentro de los márgenes establecidos en el artículo 2.5.4. de esta Ordenanza.</w:t>
            </w:r>
          </w:p>
          <w:p w14:paraId="7936B82C" w14:textId="77777777" w:rsidR="000268A7" w:rsidRPr="0048230F" w:rsidRDefault="000268A7" w:rsidP="000268A7">
            <w:pPr>
              <w:jc w:val="both"/>
              <w:rPr>
                <w:rFonts w:cstheme="minorHAnsi"/>
                <w:sz w:val="20"/>
                <w:szCs w:val="20"/>
              </w:rPr>
            </w:pPr>
            <w:r w:rsidRPr="0048230F">
              <w:rPr>
                <w:rFonts w:cstheme="minorHAnsi"/>
                <w:sz w:val="20"/>
                <w:szCs w:val="20"/>
              </w:rPr>
              <w:t>g)  Disminuir o incrementar las rasantes, dentro de los márgenes establecidos en el inciso sexto del artículo 2.6.3. de esta Ordenanza.</w:t>
            </w:r>
          </w:p>
          <w:p w14:paraId="4344719C" w14:textId="77777777" w:rsidR="000268A7" w:rsidRPr="0048230F" w:rsidRDefault="000268A7" w:rsidP="000268A7">
            <w:pPr>
              <w:jc w:val="both"/>
              <w:rPr>
                <w:rFonts w:cstheme="minorHAnsi"/>
                <w:sz w:val="20"/>
                <w:szCs w:val="20"/>
              </w:rPr>
            </w:pPr>
            <w:r w:rsidRPr="0048230F">
              <w:rPr>
                <w:rFonts w:cstheme="minorHAnsi"/>
                <w:sz w:val="20"/>
                <w:szCs w:val="20"/>
              </w:rPr>
              <w:lastRenderedPageBreak/>
              <w:t>h)  Disminuir los distanciamientos mínimos a los medianeros hasta los márgenes establecidos en el inciso octavo del artículo 2.6.3. de esta Ordenanza.</w:t>
            </w:r>
          </w:p>
          <w:p w14:paraId="33C750CE" w14:textId="77777777" w:rsidR="000268A7" w:rsidRPr="0048230F" w:rsidRDefault="000268A7" w:rsidP="000268A7">
            <w:pPr>
              <w:jc w:val="both"/>
              <w:rPr>
                <w:rFonts w:cstheme="minorHAnsi"/>
                <w:sz w:val="20"/>
                <w:szCs w:val="20"/>
              </w:rPr>
            </w:pPr>
            <w:r w:rsidRPr="0048230F">
              <w:rPr>
                <w:rFonts w:cstheme="minorHAnsi"/>
                <w:sz w:val="20"/>
                <w:szCs w:val="20"/>
              </w:rPr>
              <w:t>i)  Incrementar o disminuir la dotación de estacionamientos.</w:t>
            </w:r>
          </w:p>
          <w:p w14:paraId="0073AE3B" w14:textId="77777777" w:rsidR="000268A7" w:rsidRPr="0048230F" w:rsidRDefault="000268A7" w:rsidP="000268A7">
            <w:pPr>
              <w:jc w:val="both"/>
              <w:rPr>
                <w:rFonts w:cstheme="minorHAnsi"/>
                <w:sz w:val="20"/>
                <w:szCs w:val="20"/>
              </w:rPr>
            </w:pPr>
            <w:r w:rsidRPr="0048230F">
              <w:rPr>
                <w:rFonts w:cstheme="minorHAnsi"/>
                <w:sz w:val="20"/>
                <w:szCs w:val="20"/>
              </w:rPr>
              <w:t>j)  Fijar disposiciones relativas a cuerpos salientes de conformidad a lo establecido en el numeral 2 del artículo 2.7.1. de esta Ordenanza y disposiciones sobre los cuerpos salientes de la línea de edificación sobre los antejardines.</w:t>
            </w:r>
          </w:p>
          <w:p w14:paraId="70EFB42B" w14:textId="77777777" w:rsidR="000268A7" w:rsidRPr="0048230F" w:rsidRDefault="000268A7" w:rsidP="000268A7">
            <w:pPr>
              <w:jc w:val="both"/>
              <w:rPr>
                <w:rFonts w:cstheme="minorHAnsi"/>
                <w:sz w:val="20"/>
                <w:szCs w:val="20"/>
              </w:rPr>
            </w:pPr>
            <w:r w:rsidRPr="0048230F">
              <w:rPr>
                <w:rFonts w:cstheme="minorHAnsi"/>
                <w:sz w:val="20"/>
                <w:szCs w:val="20"/>
              </w:rPr>
              <w:t>k)  Reconocer áreas de protección de recursos de valor natural y patrimonial cultural, incluyendo las normas urbanísticas conforme al artículo 2.1.18. de esta Ordenanza.</w:t>
            </w:r>
          </w:p>
          <w:p w14:paraId="36DFD24E" w14:textId="77777777" w:rsidR="000268A7" w:rsidRPr="0048230F" w:rsidRDefault="000268A7" w:rsidP="000268A7">
            <w:pPr>
              <w:jc w:val="both"/>
              <w:rPr>
                <w:rFonts w:cstheme="minorHAnsi"/>
                <w:sz w:val="20"/>
                <w:szCs w:val="20"/>
              </w:rPr>
            </w:pPr>
            <w:r w:rsidRPr="0048230F">
              <w:rPr>
                <w:rFonts w:cstheme="minorHAnsi"/>
                <w:sz w:val="20"/>
                <w:szCs w:val="20"/>
              </w:rPr>
              <w:t>l)  Reconocer o modificar las zonas no edificables para ajustarse al ordenamiento jurídico que las establezca.</w:t>
            </w:r>
          </w:p>
          <w:p w14:paraId="4393C2F1" w14:textId="77777777" w:rsidR="000268A7" w:rsidRPr="0048230F" w:rsidRDefault="000268A7" w:rsidP="000268A7">
            <w:pPr>
              <w:jc w:val="both"/>
              <w:rPr>
                <w:rFonts w:cstheme="minorHAnsi"/>
                <w:sz w:val="20"/>
                <w:szCs w:val="20"/>
              </w:rPr>
            </w:pPr>
            <w:r w:rsidRPr="0048230F">
              <w:rPr>
                <w:rFonts w:cstheme="minorHAnsi"/>
                <w:sz w:val="20"/>
                <w:szCs w:val="20"/>
              </w:rPr>
              <w:t>m)  Reclasificar o asimilar la vialidad estructurarte al nivel inmediatamente superior o inferior.</w:t>
            </w:r>
          </w:p>
          <w:p w14:paraId="16AA71C4" w14:textId="77777777" w:rsidR="000268A7" w:rsidRPr="0048230F" w:rsidRDefault="000268A7" w:rsidP="000268A7">
            <w:pPr>
              <w:jc w:val="both"/>
              <w:rPr>
                <w:rFonts w:cstheme="minorHAnsi"/>
                <w:sz w:val="20"/>
                <w:szCs w:val="20"/>
              </w:rPr>
            </w:pPr>
            <w:r w:rsidRPr="0048230F">
              <w:rPr>
                <w:rFonts w:cstheme="minorHAnsi"/>
                <w:sz w:val="20"/>
                <w:szCs w:val="20"/>
              </w:rPr>
              <w:t>n)  Derogar o modificar disposiciones de la Ordenanza Local o el Plano, producto de modificaciones normativas o pronunciamientos de órganos competentes que afecten al instrumento.</w:t>
            </w:r>
          </w:p>
          <w:p w14:paraId="23DB3A5B" w14:textId="77777777" w:rsidR="000268A7" w:rsidRPr="0048230F" w:rsidRDefault="000268A7" w:rsidP="000268A7">
            <w:pPr>
              <w:jc w:val="both"/>
              <w:rPr>
                <w:rFonts w:cstheme="minorHAnsi"/>
                <w:sz w:val="20"/>
                <w:szCs w:val="20"/>
              </w:rPr>
            </w:pPr>
          </w:p>
          <w:p w14:paraId="2C5A79D8" w14:textId="77777777" w:rsidR="000268A7" w:rsidRPr="0048230F" w:rsidRDefault="000268A7" w:rsidP="000268A7">
            <w:pPr>
              <w:jc w:val="both"/>
              <w:rPr>
                <w:rFonts w:cstheme="minorHAnsi"/>
                <w:sz w:val="20"/>
                <w:szCs w:val="20"/>
              </w:rPr>
            </w:pPr>
            <w:r w:rsidRPr="0048230F">
              <w:rPr>
                <w:rFonts w:cstheme="minorHAnsi"/>
                <w:sz w:val="20"/>
                <w:szCs w:val="20"/>
              </w:rPr>
              <w:t xml:space="preserve">    Las enmiendas que alteren los márgenes en cada condición de edificación podrán ser ejercitadas en forma parcial, sucesiva o total dentro de la vigencia de cada Plan Regulador Comunal, pero en ningún caso la suma total de ellas podrá exceder los porcentajes antes indicados para cada condición. Las enmiendas que se aprueben conforme a este artículo deberán comprender, homogéneamente, zonas o subzonas del Plan, o bien, parte de ellas.</w:t>
            </w:r>
          </w:p>
          <w:p w14:paraId="26012392" w14:textId="77777777" w:rsidR="000268A7" w:rsidRPr="0048230F" w:rsidRDefault="000268A7" w:rsidP="000268A7">
            <w:pPr>
              <w:jc w:val="both"/>
              <w:rPr>
                <w:rFonts w:cstheme="minorHAnsi"/>
                <w:sz w:val="20"/>
                <w:szCs w:val="20"/>
              </w:rPr>
            </w:pPr>
            <w:r w:rsidRPr="0048230F">
              <w:rPr>
                <w:rFonts w:cstheme="minorHAnsi"/>
                <w:sz w:val="20"/>
                <w:szCs w:val="20"/>
              </w:rPr>
              <w:t xml:space="preserve">    Las enmiendas reglamentadas en el presente artículo se sujetarán al procedimiento previsto en los numerales 1 al 6 del inciso segundo del artículo 43° de la Ley General de Urbanismo y Construcciones y en los incisos tercero a quinto del mismo artículo. Una vez aprobadas tales enmiendas por el Concejo, serán promulgadas por decreto alcaldicio.</w:t>
            </w:r>
          </w:p>
          <w:p w14:paraId="035D3F53" w14:textId="14BE5230" w:rsidR="00AC4E0F" w:rsidRPr="003103CF" w:rsidRDefault="000268A7" w:rsidP="000268A7">
            <w:pPr>
              <w:spacing w:line="276" w:lineRule="auto"/>
              <w:ind w:left="164" w:right="172"/>
              <w:jc w:val="both"/>
              <w:rPr>
                <w:sz w:val="20"/>
                <w:szCs w:val="20"/>
              </w:rPr>
            </w:pPr>
            <w:r w:rsidRPr="0048230F">
              <w:rPr>
                <w:rFonts w:cstheme="minorHAnsi"/>
                <w:sz w:val="20"/>
                <w:szCs w:val="20"/>
              </w:rPr>
              <w:t xml:space="preserve">    Las enmiendas estarán exentas de cumplir con lo dispuesto en el artículo 28° </w:t>
            </w:r>
            <w:proofErr w:type="spellStart"/>
            <w:r w:rsidRPr="0048230F">
              <w:rPr>
                <w:rFonts w:cstheme="minorHAnsi"/>
                <w:sz w:val="20"/>
                <w:szCs w:val="20"/>
              </w:rPr>
              <w:t>octies</w:t>
            </w:r>
            <w:proofErr w:type="spellEnd"/>
            <w:r w:rsidRPr="0048230F">
              <w:rPr>
                <w:rFonts w:cstheme="minorHAnsi"/>
                <w:sz w:val="20"/>
                <w:szCs w:val="20"/>
              </w:rPr>
              <w:t xml:space="preserve"> de la referida Ley General, debiendo en todo caso dar cumplimiento a lo dispuesto en el artículo 28 </w:t>
            </w:r>
            <w:proofErr w:type="spellStart"/>
            <w:r w:rsidRPr="0048230F">
              <w:rPr>
                <w:rFonts w:cstheme="minorHAnsi"/>
                <w:sz w:val="20"/>
                <w:szCs w:val="20"/>
              </w:rPr>
              <w:t>septies</w:t>
            </w:r>
            <w:proofErr w:type="spellEnd"/>
            <w:r w:rsidRPr="0048230F">
              <w:rPr>
                <w:rFonts w:cstheme="minorHAnsi"/>
                <w:sz w:val="20"/>
                <w:szCs w:val="20"/>
              </w:rPr>
              <w:t xml:space="preserve"> de dicha ley, referido al acceso a la información de los Instrumentos de Planificación Territorial.</w:t>
            </w:r>
          </w:p>
        </w:tc>
        <w:tc>
          <w:tcPr>
            <w:tcW w:w="5954" w:type="dxa"/>
          </w:tcPr>
          <w:p w14:paraId="61AE1096" w14:textId="77777777" w:rsidR="00AC4E0F" w:rsidRDefault="00AC4E0F" w:rsidP="00AC4E0F">
            <w:pPr>
              <w:ind w:left="74" w:right="173"/>
              <w:jc w:val="both"/>
              <w:rPr>
                <w:rFonts w:cstheme="minorHAnsi"/>
                <w:spacing w:val="-3"/>
                <w:sz w:val="20"/>
                <w:szCs w:val="20"/>
              </w:rPr>
            </w:pPr>
          </w:p>
        </w:tc>
      </w:tr>
      <w:tr w:rsidR="000268A7" w:rsidRPr="00536FF3" w14:paraId="3A9AB9D9" w14:textId="77777777" w:rsidTr="00F11323">
        <w:trPr>
          <w:trHeight w:val="290"/>
          <w:jc w:val="center"/>
        </w:trPr>
        <w:tc>
          <w:tcPr>
            <w:tcW w:w="6516" w:type="dxa"/>
          </w:tcPr>
          <w:p w14:paraId="54A7587D" w14:textId="77777777" w:rsidR="000268A7" w:rsidRPr="0048230F" w:rsidRDefault="000268A7" w:rsidP="000268A7">
            <w:pPr>
              <w:jc w:val="both"/>
              <w:rPr>
                <w:rFonts w:cstheme="minorHAnsi"/>
                <w:sz w:val="20"/>
                <w:szCs w:val="20"/>
              </w:rPr>
            </w:pPr>
            <w:r w:rsidRPr="0048230F">
              <w:rPr>
                <w:rFonts w:cstheme="minorHAnsi"/>
                <w:b/>
                <w:bCs/>
                <w:sz w:val="20"/>
                <w:szCs w:val="20"/>
              </w:rPr>
              <w:t>Artículo 2.1.36.</w:t>
            </w:r>
            <w:r w:rsidRPr="0048230F">
              <w:rPr>
                <w:rFonts w:cstheme="minorHAnsi"/>
                <w:sz w:val="20"/>
                <w:szCs w:val="20"/>
              </w:rPr>
              <w:t xml:space="preserve"> Para los efectos de la aplicación de los Instrumentos de Planificación Territorial, se distinguirán cuatro escalas de equipamiento, divididas según su carga de ocupación y ubicación respecto de la categoría de la vía que enfrentan. Dichas escalas son las siguientes:</w:t>
            </w:r>
          </w:p>
          <w:p w14:paraId="32FAA72D" w14:textId="77777777" w:rsidR="000268A7" w:rsidRPr="0048230F" w:rsidRDefault="000268A7" w:rsidP="000268A7">
            <w:pPr>
              <w:jc w:val="both"/>
              <w:rPr>
                <w:rFonts w:cstheme="minorHAnsi"/>
                <w:sz w:val="20"/>
                <w:szCs w:val="20"/>
              </w:rPr>
            </w:pPr>
          </w:p>
          <w:p w14:paraId="54EC352D" w14:textId="77777777" w:rsidR="000268A7" w:rsidRPr="0048230F" w:rsidRDefault="000268A7" w:rsidP="000268A7">
            <w:pPr>
              <w:jc w:val="both"/>
              <w:rPr>
                <w:rFonts w:cstheme="minorHAnsi"/>
                <w:sz w:val="20"/>
                <w:szCs w:val="20"/>
              </w:rPr>
            </w:pPr>
            <w:r w:rsidRPr="0048230F">
              <w:rPr>
                <w:rFonts w:cstheme="minorHAnsi"/>
                <w:sz w:val="20"/>
                <w:szCs w:val="20"/>
              </w:rPr>
              <w:t>1.  Equipamiento Mayor: El que contempla una carga de ocupación superior a 6.000 personas y sólo se podrá ubicar en predios que enfrenten vías expresas y troncales.</w:t>
            </w:r>
          </w:p>
          <w:p w14:paraId="04C0D24C" w14:textId="77777777" w:rsidR="000268A7" w:rsidRPr="0048230F" w:rsidRDefault="000268A7" w:rsidP="000268A7">
            <w:pPr>
              <w:jc w:val="both"/>
              <w:rPr>
                <w:rFonts w:cstheme="minorHAnsi"/>
                <w:sz w:val="20"/>
                <w:szCs w:val="20"/>
              </w:rPr>
            </w:pPr>
            <w:r w:rsidRPr="0048230F">
              <w:rPr>
                <w:rFonts w:cstheme="minorHAnsi"/>
                <w:sz w:val="20"/>
                <w:szCs w:val="20"/>
              </w:rPr>
              <w:t>2.  Equipamiento Mediano: El que contempla una carga de ocupación superior a 1.000 y hasta 6.000 personas y sólo se podrá ubicar en predios que enfrenten vías colectoras, troncales o expresas.</w:t>
            </w:r>
          </w:p>
          <w:p w14:paraId="74506401" w14:textId="77777777" w:rsidR="000268A7" w:rsidRPr="0048230F" w:rsidRDefault="000268A7" w:rsidP="000268A7">
            <w:pPr>
              <w:jc w:val="both"/>
              <w:rPr>
                <w:rFonts w:cstheme="minorHAnsi"/>
                <w:sz w:val="20"/>
                <w:szCs w:val="20"/>
              </w:rPr>
            </w:pPr>
            <w:r w:rsidRPr="0048230F">
              <w:rPr>
                <w:rFonts w:cstheme="minorHAnsi"/>
                <w:sz w:val="20"/>
                <w:szCs w:val="20"/>
              </w:rPr>
              <w:t>3.  Equipamiento Menor: El que contempla una carga de ocupación superior a 250 y hasta 1.000 personas y sólo se podrá ubicar en predios que enfrenten vías de servicio, colectoras, troncales o expresas.</w:t>
            </w:r>
          </w:p>
          <w:p w14:paraId="4B19759F" w14:textId="77777777" w:rsidR="000268A7" w:rsidRPr="0048230F" w:rsidRDefault="000268A7" w:rsidP="000268A7">
            <w:pPr>
              <w:jc w:val="both"/>
              <w:rPr>
                <w:rFonts w:cstheme="minorHAnsi"/>
                <w:sz w:val="20"/>
                <w:szCs w:val="20"/>
              </w:rPr>
            </w:pPr>
            <w:r w:rsidRPr="0048230F">
              <w:rPr>
                <w:rFonts w:cstheme="minorHAnsi"/>
                <w:sz w:val="20"/>
                <w:szCs w:val="20"/>
              </w:rPr>
              <w:t xml:space="preserve">4.  </w:t>
            </w:r>
            <w:r w:rsidRPr="000268A7">
              <w:rPr>
                <w:rFonts w:cstheme="minorHAnsi"/>
                <w:sz w:val="20"/>
                <w:szCs w:val="20"/>
              </w:rPr>
              <w:t>Equipamiento Básico: El que contempla una carga de ocupación de hasta 250 personas y sólo se podrá ubicar en predios que enfrenten vías locales, de servicio, colectoras</w:t>
            </w:r>
            <w:r w:rsidRPr="0048230F">
              <w:rPr>
                <w:rFonts w:cstheme="minorHAnsi"/>
                <w:sz w:val="20"/>
                <w:szCs w:val="20"/>
              </w:rPr>
              <w:t>, troncales o expresas.</w:t>
            </w:r>
          </w:p>
          <w:p w14:paraId="2AC226F6" w14:textId="77777777" w:rsidR="000268A7" w:rsidRDefault="000268A7" w:rsidP="000268A7">
            <w:pPr>
              <w:jc w:val="both"/>
              <w:rPr>
                <w:rFonts w:cstheme="minorHAnsi"/>
                <w:sz w:val="20"/>
                <w:szCs w:val="20"/>
              </w:rPr>
            </w:pPr>
          </w:p>
          <w:p w14:paraId="755D68CE" w14:textId="7018CAE0" w:rsidR="000268A7" w:rsidRDefault="00B114B6" w:rsidP="000268A7">
            <w:pPr>
              <w:jc w:val="both"/>
              <w:rPr>
                <w:rFonts w:cstheme="minorHAnsi"/>
                <w:sz w:val="20"/>
                <w:szCs w:val="20"/>
              </w:rPr>
            </w:pPr>
            <w:r>
              <w:rPr>
                <w:rFonts w:cstheme="minorHAnsi"/>
                <w:sz w:val="20"/>
                <w:szCs w:val="20"/>
              </w:rPr>
              <w:lastRenderedPageBreak/>
              <w:t>Los Municipios podrán asimilar el equipamiento vecinal al equipamiento menor o al básico señalados en este artículo, al redefinir su localización conf</w:t>
            </w:r>
            <w:r w:rsidR="003270AA">
              <w:rPr>
                <w:rFonts w:cstheme="minorHAnsi"/>
                <w:sz w:val="20"/>
                <w:szCs w:val="20"/>
              </w:rPr>
              <w:t>o</w:t>
            </w:r>
            <w:r>
              <w:rPr>
                <w:rFonts w:cstheme="minorHAnsi"/>
                <w:sz w:val="20"/>
                <w:szCs w:val="20"/>
              </w:rPr>
              <w:t>rme al inciso segundo del artículo 2.1.13. de esta Ordenanza.</w:t>
            </w:r>
          </w:p>
          <w:p w14:paraId="30E68000" w14:textId="77777777" w:rsidR="000268A7" w:rsidRPr="0048230F" w:rsidRDefault="000268A7" w:rsidP="000268A7">
            <w:pPr>
              <w:jc w:val="both"/>
              <w:rPr>
                <w:rFonts w:cstheme="minorHAnsi"/>
                <w:sz w:val="20"/>
                <w:szCs w:val="20"/>
              </w:rPr>
            </w:pPr>
          </w:p>
          <w:p w14:paraId="6965C5A5" w14:textId="3828E83A" w:rsidR="000268A7" w:rsidRPr="00AC4E0F" w:rsidRDefault="000268A7" w:rsidP="00B114B6">
            <w:pPr>
              <w:ind w:left="164" w:right="127"/>
              <w:rPr>
                <w:sz w:val="20"/>
                <w:szCs w:val="20"/>
              </w:rPr>
            </w:pPr>
            <w:r w:rsidRPr="0048230F">
              <w:rPr>
                <w:rFonts w:cstheme="minorHAnsi"/>
                <w:sz w:val="20"/>
                <w:szCs w:val="20"/>
              </w:rPr>
              <w:t xml:space="preserve">    Por otra parte, las Municipalidades podrán aceptar equipamientos de mayor escala en vías de menor categoría, siempre que se indique en forma expresa en el Instrumento de Planificación Territorial y se encuentre avalado por el respectivo estudio de</w:t>
            </w:r>
            <w:r w:rsidR="00B114B6">
              <w:rPr>
                <w:rFonts w:cstheme="minorHAnsi"/>
                <w:sz w:val="20"/>
                <w:szCs w:val="20"/>
              </w:rPr>
              <w:t xml:space="preserve"> capacidad vial</w:t>
            </w:r>
            <w:r w:rsidRPr="0048230F">
              <w:rPr>
                <w:rFonts w:cstheme="minorHAnsi"/>
                <w:sz w:val="20"/>
                <w:szCs w:val="20"/>
              </w:rPr>
              <w:t xml:space="preserve"> contenido en dicho instrumento de planificación.</w:t>
            </w:r>
          </w:p>
        </w:tc>
        <w:tc>
          <w:tcPr>
            <w:tcW w:w="6662" w:type="dxa"/>
          </w:tcPr>
          <w:p w14:paraId="421C5C7C" w14:textId="77777777" w:rsidR="000268A7" w:rsidRPr="0048230F" w:rsidRDefault="000268A7" w:rsidP="000268A7">
            <w:pPr>
              <w:jc w:val="both"/>
              <w:rPr>
                <w:rFonts w:cstheme="minorHAnsi"/>
                <w:sz w:val="20"/>
                <w:szCs w:val="20"/>
              </w:rPr>
            </w:pPr>
            <w:r w:rsidRPr="0048230F">
              <w:rPr>
                <w:rFonts w:cstheme="minorHAnsi"/>
                <w:b/>
                <w:bCs/>
                <w:sz w:val="20"/>
                <w:szCs w:val="20"/>
              </w:rPr>
              <w:lastRenderedPageBreak/>
              <w:t>Artículo 2.1.36.</w:t>
            </w:r>
            <w:r w:rsidRPr="0048230F">
              <w:rPr>
                <w:rFonts w:cstheme="minorHAnsi"/>
                <w:sz w:val="20"/>
                <w:szCs w:val="20"/>
              </w:rPr>
              <w:t xml:space="preserve"> Para los efectos de la aplicación de los Instrumentos de Planificación Territorial, se distinguirán cuatro escalas de equipamiento, divididas según su carga de ocupación y ubicación respecto de la categoría de la vía que enfrentan. Dichas escalas son las siguientes:</w:t>
            </w:r>
          </w:p>
          <w:p w14:paraId="5514E334" w14:textId="77777777" w:rsidR="000268A7" w:rsidRPr="0048230F" w:rsidRDefault="000268A7" w:rsidP="000268A7">
            <w:pPr>
              <w:jc w:val="both"/>
              <w:rPr>
                <w:rFonts w:cstheme="minorHAnsi"/>
                <w:sz w:val="20"/>
                <w:szCs w:val="20"/>
              </w:rPr>
            </w:pPr>
          </w:p>
          <w:p w14:paraId="1D5D19C9" w14:textId="77777777" w:rsidR="000268A7" w:rsidRPr="0048230F" w:rsidRDefault="000268A7" w:rsidP="000268A7">
            <w:pPr>
              <w:jc w:val="both"/>
              <w:rPr>
                <w:rFonts w:cstheme="minorHAnsi"/>
                <w:sz w:val="20"/>
                <w:szCs w:val="20"/>
              </w:rPr>
            </w:pPr>
            <w:r w:rsidRPr="0048230F">
              <w:rPr>
                <w:rFonts w:cstheme="minorHAnsi"/>
                <w:sz w:val="20"/>
                <w:szCs w:val="20"/>
              </w:rPr>
              <w:t>1.  Equipamiento Mayor: El que contempla una carga de ocupación superior a 6.000 personas y sólo se podrá ubicar en predios que enfrenten vías expresas y troncales.</w:t>
            </w:r>
          </w:p>
          <w:p w14:paraId="17B2E9F8" w14:textId="77777777" w:rsidR="000268A7" w:rsidRPr="0048230F" w:rsidRDefault="000268A7" w:rsidP="000268A7">
            <w:pPr>
              <w:jc w:val="both"/>
              <w:rPr>
                <w:rFonts w:cstheme="minorHAnsi"/>
                <w:sz w:val="20"/>
                <w:szCs w:val="20"/>
              </w:rPr>
            </w:pPr>
            <w:r w:rsidRPr="0048230F">
              <w:rPr>
                <w:rFonts w:cstheme="minorHAnsi"/>
                <w:sz w:val="20"/>
                <w:szCs w:val="20"/>
              </w:rPr>
              <w:t>2.  Equipamiento Mediano: El que contempla una carga de ocupación superior a 1.000 y hasta 6.000 personas y sólo se podrá ubicar en predios que enfrenten vías colectoras, troncales o expresas.</w:t>
            </w:r>
          </w:p>
          <w:p w14:paraId="45C6A08A" w14:textId="77777777" w:rsidR="000268A7" w:rsidRPr="0048230F" w:rsidRDefault="000268A7" w:rsidP="000268A7">
            <w:pPr>
              <w:jc w:val="both"/>
              <w:rPr>
                <w:rFonts w:cstheme="minorHAnsi"/>
                <w:sz w:val="20"/>
                <w:szCs w:val="20"/>
              </w:rPr>
            </w:pPr>
            <w:r w:rsidRPr="0048230F">
              <w:rPr>
                <w:rFonts w:cstheme="minorHAnsi"/>
                <w:sz w:val="20"/>
                <w:szCs w:val="20"/>
              </w:rPr>
              <w:t>3.  Equipamiento Menor: El que contempla una carga de ocupación superior a 250 y hasta 1.000 personas y sólo se podrá ubicar en predios que enfrenten vías de servicio, colectoras, troncales o expresas.</w:t>
            </w:r>
          </w:p>
          <w:p w14:paraId="7009B8FA" w14:textId="499A8A28" w:rsidR="000268A7" w:rsidRDefault="000268A7" w:rsidP="000268A7">
            <w:pPr>
              <w:jc w:val="both"/>
              <w:rPr>
                <w:rFonts w:cstheme="minorHAnsi"/>
                <w:sz w:val="20"/>
                <w:szCs w:val="20"/>
              </w:rPr>
            </w:pPr>
            <w:r w:rsidRPr="0048230F">
              <w:rPr>
                <w:rFonts w:cstheme="minorHAnsi"/>
                <w:sz w:val="20"/>
                <w:szCs w:val="20"/>
              </w:rPr>
              <w:t xml:space="preserve">4.  Equipamiento Básico: El que contempla una carga de ocupación </w:t>
            </w:r>
            <w:r w:rsidRPr="00FD1C88">
              <w:rPr>
                <w:rFonts w:cstheme="minorHAnsi"/>
                <w:color w:val="FF0000"/>
                <w:sz w:val="20"/>
                <w:szCs w:val="20"/>
                <w:highlight w:val="yellow"/>
              </w:rPr>
              <w:t xml:space="preserve">superior a 100 y </w:t>
            </w:r>
            <w:r w:rsidRPr="00B114B6">
              <w:rPr>
                <w:rFonts w:cstheme="minorHAnsi"/>
                <w:sz w:val="20"/>
                <w:szCs w:val="20"/>
              </w:rPr>
              <w:t>hasta 250 personas</w:t>
            </w:r>
            <w:r w:rsidRPr="0048230F">
              <w:rPr>
                <w:rFonts w:cstheme="minorHAnsi"/>
                <w:sz w:val="20"/>
                <w:szCs w:val="20"/>
              </w:rPr>
              <w:t xml:space="preserve"> y sólo se podrá ubicar en predios que enfrenten vías locales, de servicio, colectoras, troncales o expresas.</w:t>
            </w:r>
          </w:p>
          <w:p w14:paraId="3F71C68F" w14:textId="77777777" w:rsidR="00B114B6" w:rsidRPr="00B114B6" w:rsidRDefault="00B114B6" w:rsidP="00B114B6">
            <w:pPr>
              <w:jc w:val="both"/>
              <w:rPr>
                <w:rFonts w:cstheme="minorHAnsi"/>
                <w:strike/>
                <w:sz w:val="20"/>
                <w:szCs w:val="20"/>
              </w:rPr>
            </w:pPr>
            <w:r w:rsidRPr="00B114B6">
              <w:rPr>
                <w:rFonts w:cstheme="minorHAnsi"/>
                <w:strike/>
                <w:sz w:val="20"/>
                <w:szCs w:val="20"/>
              </w:rPr>
              <w:lastRenderedPageBreak/>
              <w:t>Los Municipios podrán asimilar el equipamiento vecinal al equipamiento menor o al básico señalados en este artículo, al redefinir su localización confirme al inciso segundo del artículo 2.1.13. de esta Ordenanza.</w:t>
            </w:r>
          </w:p>
          <w:p w14:paraId="48B300D0" w14:textId="77777777" w:rsidR="00B114B6" w:rsidRPr="0048230F" w:rsidRDefault="00B114B6" w:rsidP="000268A7">
            <w:pPr>
              <w:jc w:val="both"/>
              <w:rPr>
                <w:rFonts w:cstheme="minorHAnsi"/>
                <w:sz w:val="20"/>
                <w:szCs w:val="20"/>
              </w:rPr>
            </w:pPr>
          </w:p>
          <w:p w14:paraId="400A4FC6" w14:textId="77777777" w:rsidR="000268A7" w:rsidRPr="00FD1C88" w:rsidRDefault="000268A7" w:rsidP="000268A7">
            <w:pPr>
              <w:jc w:val="both"/>
              <w:rPr>
                <w:rFonts w:cstheme="minorHAnsi"/>
                <w:color w:val="FF0000"/>
                <w:sz w:val="20"/>
                <w:szCs w:val="20"/>
                <w:highlight w:val="yellow"/>
              </w:rPr>
            </w:pPr>
            <w:r w:rsidRPr="00FD1C88">
              <w:rPr>
                <w:rFonts w:cstheme="minorHAnsi"/>
                <w:color w:val="FF0000"/>
                <w:sz w:val="20"/>
                <w:szCs w:val="20"/>
                <w:highlight w:val="yellow"/>
              </w:rPr>
              <w:t>5.  Equipamiento Vecinal: El que contempla una carga de ocupación de hasta 100 personas y que se podrá ubicar en predios que enfrenten vías locales, de servicio, colectoras, troncales o expresas. Excepcionalmente podrán localizarse en pasajes, los equipamientos a que se refiere el artículo 2.3.3. de esta Ordenanza</w:t>
            </w:r>
          </w:p>
          <w:p w14:paraId="66A329A2" w14:textId="77777777" w:rsidR="000268A7" w:rsidRPr="00FD1C88" w:rsidRDefault="000268A7" w:rsidP="000268A7">
            <w:pPr>
              <w:jc w:val="both"/>
              <w:rPr>
                <w:rFonts w:cstheme="minorHAnsi"/>
                <w:sz w:val="20"/>
                <w:szCs w:val="20"/>
                <w:highlight w:val="yellow"/>
              </w:rPr>
            </w:pPr>
          </w:p>
          <w:p w14:paraId="005C4C92" w14:textId="6077CF01" w:rsidR="000268A7" w:rsidRPr="00AC4E0F" w:rsidRDefault="000268A7" w:rsidP="000268A7">
            <w:pPr>
              <w:ind w:left="164" w:right="127"/>
              <w:rPr>
                <w:sz w:val="20"/>
                <w:szCs w:val="20"/>
              </w:rPr>
            </w:pPr>
            <w:r w:rsidRPr="0048230F">
              <w:rPr>
                <w:rFonts w:cstheme="minorHAnsi"/>
                <w:sz w:val="20"/>
                <w:szCs w:val="20"/>
              </w:rPr>
              <w:t xml:space="preserve">    Por otra parte, las Municipalidades podrán aceptar equipamientos de mayor escala en vías de menor categoría, siempre que se indique en forma expresa en el Instrumento de Planificación Territorial y se encuentre avalado por el respectivo estudio de </w:t>
            </w:r>
            <w:r w:rsidR="00B114B6" w:rsidRPr="00B114B6">
              <w:rPr>
                <w:rFonts w:cstheme="minorHAnsi"/>
                <w:strike/>
                <w:sz w:val="20"/>
                <w:szCs w:val="20"/>
              </w:rPr>
              <w:t>capacidad vial</w:t>
            </w:r>
            <w:r w:rsidR="00B114B6">
              <w:rPr>
                <w:rFonts w:cstheme="minorHAnsi"/>
                <w:sz w:val="20"/>
                <w:szCs w:val="20"/>
              </w:rPr>
              <w:t xml:space="preserve"> </w:t>
            </w:r>
            <w:r w:rsidRPr="00773385">
              <w:rPr>
                <w:rFonts w:cstheme="minorHAnsi"/>
                <w:color w:val="FF0000"/>
                <w:sz w:val="20"/>
                <w:szCs w:val="20"/>
                <w:highlight w:val="yellow"/>
              </w:rPr>
              <w:t>movilidad urbana</w:t>
            </w:r>
            <w:r w:rsidRPr="00773385">
              <w:rPr>
                <w:rFonts w:cstheme="minorHAnsi"/>
                <w:color w:val="FF0000"/>
                <w:sz w:val="20"/>
                <w:szCs w:val="20"/>
              </w:rPr>
              <w:t xml:space="preserve"> </w:t>
            </w:r>
            <w:r w:rsidRPr="0048230F">
              <w:rPr>
                <w:rFonts w:cstheme="minorHAnsi"/>
                <w:sz w:val="20"/>
                <w:szCs w:val="20"/>
              </w:rPr>
              <w:t>contenido en dicho instrumento de planificación.</w:t>
            </w:r>
          </w:p>
        </w:tc>
        <w:tc>
          <w:tcPr>
            <w:tcW w:w="5954" w:type="dxa"/>
          </w:tcPr>
          <w:p w14:paraId="6FF239A7" w14:textId="77777777" w:rsidR="000268A7" w:rsidRDefault="000268A7" w:rsidP="00AC4E0F">
            <w:pPr>
              <w:ind w:left="74" w:right="173"/>
              <w:jc w:val="both"/>
              <w:rPr>
                <w:rFonts w:cstheme="minorHAnsi"/>
                <w:spacing w:val="-3"/>
                <w:sz w:val="20"/>
                <w:szCs w:val="20"/>
              </w:rPr>
            </w:pPr>
          </w:p>
        </w:tc>
      </w:tr>
      <w:tr w:rsidR="000268A7" w:rsidRPr="00536FF3" w14:paraId="1F955623" w14:textId="77777777" w:rsidTr="00F11323">
        <w:trPr>
          <w:trHeight w:val="290"/>
          <w:jc w:val="center"/>
        </w:trPr>
        <w:tc>
          <w:tcPr>
            <w:tcW w:w="6516" w:type="dxa"/>
          </w:tcPr>
          <w:p w14:paraId="72A584E3" w14:textId="77777777" w:rsidR="000268A7" w:rsidRPr="00787BF5" w:rsidRDefault="000268A7" w:rsidP="000268A7">
            <w:pPr>
              <w:jc w:val="both"/>
              <w:rPr>
                <w:rFonts w:cstheme="minorHAnsi"/>
                <w:sz w:val="20"/>
                <w:szCs w:val="20"/>
              </w:rPr>
            </w:pPr>
            <w:r w:rsidRPr="00787BF5">
              <w:rPr>
                <w:rFonts w:cstheme="minorHAnsi"/>
                <w:b/>
                <w:bCs/>
                <w:sz w:val="20"/>
                <w:szCs w:val="20"/>
              </w:rPr>
              <w:t>Artículo 2.3.3.</w:t>
            </w:r>
            <w:r w:rsidRPr="00787BF5">
              <w:rPr>
                <w:rFonts w:cstheme="minorHAnsi"/>
                <w:sz w:val="20"/>
                <w:szCs w:val="20"/>
              </w:rPr>
              <w:t xml:space="preserve"> Las vías de uso público para la circulación peatonal, se definirán considerando las siguientes características:</w:t>
            </w:r>
          </w:p>
          <w:p w14:paraId="52E7F598" w14:textId="77777777" w:rsidR="000268A7" w:rsidRPr="00787BF5" w:rsidRDefault="000268A7" w:rsidP="000268A7">
            <w:pPr>
              <w:jc w:val="both"/>
              <w:rPr>
                <w:rFonts w:cstheme="minorHAnsi"/>
                <w:sz w:val="20"/>
                <w:szCs w:val="20"/>
              </w:rPr>
            </w:pPr>
          </w:p>
          <w:p w14:paraId="27C5AF3F" w14:textId="77777777" w:rsidR="000268A7" w:rsidRPr="00787BF5" w:rsidRDefault="000268A7" w:rsidP="000268A7">
            <w:pPr>
              <w:jc w:val="both"/>
              <w:rPr>
                <w:rFonts w:cstheme="minorHAnsi"/>
                <w:sz w:val="20"/>
                <w:szCs w:val="20"/>
              </w:rPr>
            </w:pPr>
            <w:r w:rsidRPr="00787BF5">
              <w:rPr>
                <w:rFonts w:cstheme="minorHAnsi"/>
                <w:sz w:val="20"/>
                <w:szCs w:val="20"/>
              </w:rPr>
              <w:t xml:space="preserve">    1. Pasajes en general. Están destinados a la circulación de peatones y al tránsito eventual de vehículos.</w:t>
            </w:r>
          </w:p>
          <w:p w14:paraId="65E0D45C" w14:textId="77777777" w:rsidR="000268A7" w:rsidRPr="00787BF5" w:rsidRDefault="000268A7" w:rsidP="000268A7">
            <w:pPr>
              <w:jc w:val="both"/>
              <w:rPr>
                <w:rFonts w:cstheme="minorHAnsi"/>
                <w:sz w:val="20"/>
                <w:szCs w:val="20"/>
              </w:rPr>
            </w:pPr>
            <w:r w:rsidRPr="00787BF5">
              <w:rPr>
                <w:rFonts w:cstheme="minorHAnsi"/>
                <w:sz w:val="20"/>
                <w:szCs w:val="20"/>
              </w:rPr>
              <w:t xml:space="preserve">    Para que una vía sea considerada como pasaje, deberá tener un ancho no inferior a 8 metros ni superior a 11 metros, medidos entre líneas oficiales, debiendo cumplir con las siguientes condiciones:</w:t>
            </w:r>
          </w:p>
          <w:p w14:paraId="7D3FAA68" w14:textId="77777777" w:rsidR="000268A7" w:rsidRPr="00787BF5" w:rsidRDefault="000268A7" w:rsidP="000268A7">
            <w:pPr>
              <w:jc w:val="both"/>
              <w:rPr>
                <w:rFonts w:cstheme="minorHAnsi"/>
                <w:sz w:val="20"/>
                <w:szCs w:val="20"/>
              </w:rPr>
            </w:pPr>
            <w:r w:rsidRPr="00787BF5">
              <w:rPr>
                <w:rFonts w:cstheme="minorHAnsi"/>
                <w:sz w:val="20"/>
                <w:szCs w:val="20"/>
              </w:rPr>
              <w:t xml:space="preserve">    </w:t>
            </w:r>
            <w:r>
              <w:rPr>
                <w:noProof/>
                <w:lang w:eastAsia="es-CL"/>
                <w14:ligatures w14:val="standardContextual"/>
              </w:rPr>
              <w:drawing>
                <wp:inline distT="0" distB="0" distL="0" distR="0" wp14:anchorId="01DA0A41" wp14:editId="24C8151D">
                  <wp:extent cx="2600325" cy="936117"/>
                  <wp:effectExtent l="0" t="0" r="0" b="0"/>
                  <wp:docPr id="1209134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34632" name=""/>
                          <pic:cNvPicPr/>
                        </pic:nvPicPr>
                        <pic:blipFill rotWithShape="1">
                          <a:blip r:embed="rId8"/>
                          <a:srcRect l="38290" t="36720" r="15577" b="33740"/>
                          <a:stretch/>
                        </pic:blipFill>
                        <pic:spPr bwMode="auto">
                          <a:xfrm>
                            <a:off x="0" y="0"/>
                            <a:ext cx="2612707" cy="940575"/>
                          </a:xfrm>
                          <a:prstGeom prst="rect">
                            <a:avLst/>
                          </a:prstGeom>
                          <a:ln>
                            <a:noFill/>
                          </a:ln>
                          <a:extLst>
                            <a:ext uri="{53640926-AAD7-44D8-BBD7-CCE9431645EC}">
                              <a14:shadowObscured xmlns:a14="http://schemas.microsoft.com/office/drawing/2010/main"/>
                            </a:ext>
                          </a:extLst>
                        </pic:spPr>
                      </pic:pic>
                    </a:graphicData>
                  </a:graphic>
                </wp:inline>
              </w:drawing>
            </w:r>
          </w:p>
          <w:p w14:paraId="0E794195" w14:textId="77777777" w:rsidR="000268A7" w:rsidRPr="00787BF5" w:rsidRDefault="000268A7" w:rsidP="000268A7">
            <w:pPr>
              <w:jc w:val="both"/>
              <w:rPr>
                <w:rFonts w:cstheme="minorHAnsi"/>
                <w:sz w:val="20"/>
                <w:szCs w:val="20"/>
              </w:rPr>
            </w:pPr>
          </w:p>
          <w:p w14:paraId="5CD5B6E3" w14:textId="77777777" w:rsidR="000268A7" w:rsidRPr="00787BF5" w:rsidRDefault="000268A7" w:rsidP="000268A7">
            <w:pPr>
              <w:jc w:val="both"/>
              <w:rPr>
                <w:rFonts w:cstheme="minorHAnsi"/>
                <w:sz w:val="20"/>
                <w:szCs w:val="20"/>
              </w:rPr>
            </w:pPr>
            <w:r w:rsidRPr="00787BF5">
              <w:rPr>
                <w:rFonts w:cstheme="minorHAnsi"/>
                <w:sz w:val="20"/>
                <w:szCs w:val="20"/>
              </w:rPr>
              <w:t xml:space="preserve">    Los pasajes sin salida corresponden a aquellos a los cuales se accede sólo por uno de sus extremos desde una vía de circulación vehicular continua y contemplan en el otro extremo </w:t>
            </w:r>
            <w:proofErr w:type="gramStart"/>
            <w:r w:rsidRPr="00B114B6">
              <w:rPr>
                <w:rFonts w:cstheme="minorHAnsi"/>
                <w:sz w:val="20"/>
                <w:szCs w:val="20"/>
              </w:rPr>
              <w:t>una área</w:t>
            </w:r>
            <w:r w:rsidRPr="00787BF5">
              <w:rPr>
                <w:rFonts w:cstheme="minorHAnsi"/>
                <w:sz w:val="20"/>
                <w:szCs w:val="20"/>
              </w:rPr>
              <w:t xml:space="preserve"> pavimentada</w:t>
            </w:r>
            <w:proofErr w:type="gramEnd"/>
            <w:r w:rsidRPr="00787BF5">
              <w:rPr>
                <w:rFonts w:cstheme="minorHAnsi"/>
                <w:sz w:val="20"/>
                <w:szCs w:val="20"/>
              </w:rPr>
              <w:t xml:space="preserve"> que permita el giro en 180º de vehículos, incluidos los de emergencia, cuyo radio interior no sea inferior a 6 metros.</w:t>
            </w:r>
          </w:p>
          <w:p w14:paraId="0DD6006E" w14:textId="77777777" w:rsidR="000268A7" w:rsidRPr="00787BF5" w:rsidRDefault="000268A7" w:rsidP="000268A7">
            <w:pPr>
              <w:jc w:val="both"/>
              <w:rPr>
                <w:rFonts w:cstheme="minorHAnsi"/>
                <w:sz w:val="20"/>
                <w:szCs w:val="20"/>
              </w:rPr>
            </w:pPr>
            <w:r w:rsidRPr="00787BF5">
              <w:rPr>
                <w:rFonts w:cstheme="minorHAnsi"/>
                <w:sz w:val="20"/>
                <w:szCs w:val="20"/>
              </w:rPr>
              <w:t xml:space="preserve">    Los pasajes con salida corresponden a aquellos en que por ambos extremos se accede a vías de circulación vehicular continua.</w:t>
            </w:r>
          </w:p>
          <w:p w14:paraId="65DB26E5" w14:textId="77777777" w:rsidR="000268A7" w:rsidRPr="00787BF5" w:rsidRDefault="000268A7" w:rsidP="000268A7">
            <w:pPr>
              <w:jc w:val="both"/>
              <w:rPr>
                <w:rFonts w:cstheme="minorHAnsi"/>
                <w:sz w:val="20"/>
                <w:szCs w:val="20"/>
              </w:rPr>
            </w:pPr>
            <w:r w:rsidRPr="00787BF5">
              <w:rPr>
                <w:rFonts w:cstheme="minorHAnsi"/>
                <w:sz w:val="20"/>
                <w:szCs w:val="20"/>
              </w:rPr>
              <w:t xml:space="preserve">    Con todo, los pasajes no podrán considerarse como acceso para los usos de suelo de infraestructura, actividades productivas, equipamiento y residencial, </w:t>
            </w:r>
            <w:r w:rsidRPr="00B114B6">
              <w:rPr>
                <w:rFonts w:cstheme="minorHAnsi"/>
                <w:sz w:val="20"/>
                <w:szCs w:val="20"/>
              </w:rPr>
              <w:t>con excepción del</w:t>
            </w:r>
            <w:r w:rsidRPr="00787BF5">
              <w:rPr>
                <w:rFonts w:cstheme="minorHAnsi"/>
                <w:sz w:val="20"/>
                <w:szCs w:val="20"/>
              </w:rPr>
              <w:t xml:space="preserve"> destino de vivienda. En este último caso los pasajes no podrán servir de acceso exclusivo a viviendas que excedan los dos pisos de altura más mansarda.</w:t>
            </w:r>
          </w:p>
          <w:p w14:paraId="236FFC1B" w14:textId="77777777" w:rsidR="000268A7" w:rsidRPr="00787BF5" w:rsidRDefault="000268A7" w:rsidP="000268A7">
            <w:pPr>
              <w:jc w:val="both"/>
              <w:rPr>
                <w:rFonts w:cstheme="minorHAnsi"/>
                <w:sz w:val="20"/>
                <w:szCs w:val="20"/>
              </w:rPr>
            </w:pPr>
            <w:r w:rsidRPr="00787BF5">
              <w:rPr>
                <w:rFonts w:cstheme="minorHAnsi"/>
                <w:sz w:val="20"/>
                <w:szCs w:val="20"/>
              </w:rPr>
              <w:t xml:space="preserve">    Los pasajes peatonales exclusivos no podrán constituir el único acceso a las viviendas, salvo en los casos en que no existan vías públicas que le den acceso.</w:t>
            </w:r>
          </w:p>
          <w:p w14:paraId="1A275447" w14:textId="77777777" w:rsidR="000268A7" w:rsidRDefault="000268A7" w:rsidP="000268A7">
            <w:pPr>
              <w:jc w:val="both"/>
              <w:rPr>
                <w:rFonts w:cstheme="minorHAnsi"/>
                <w:sz w:val="20"/>
                <w:szCs w:val="20"/>
              </w:rPr>
            </w:pPr>
          </w:p>
          <w:p w14:paraId="71D8F1AB" w14:textId="77777777" w:rsidR="000268A7" w:rsidRPr="00787BF5" w:rsidRDefault="000268A7" w:rsidP="000268A7">
            <w:pPr>
              <w:jc w:val="both"/>
              <w:rPr>
                <w:rFonts w:cstheme="minorHAnsi"/>
                <w:sz w:val="20"/>
                <w:szCs w:val="20"/>
              </w:rPr>
            </w:pPr>
          </w:p>
          <w:p w14:paraId="2ABC3112" w14:textId="77777777" w:rsidR="000268A7" w:rsidRPr="00787BF5" w:rsidRDefault="000268A7" w:rsidP="000268A7">
            <w:pPr>
              <w:jc w:val="both"/>
              <w:rPr>
                <w:rFonts w:cstheme="minorHAnsi"/>
                <w:sz w:val="20"/>
                <w:szCs w:val="20"/>
              </w:rPr>
            </w:pPr>
            <w:r w:rsidRPr="00787BF5">
              <w:rPr>
                <w:rFonts w:cstheme="minorHAnsi"/>
                <w:sz w:val="20"/>
                <w:szCs w:val="20"/>
              </w:rPr>
              <w:t xml:space="preserve">    2. Pasajes en pendiente elevada: Son vías de uso público exclusivamente para la circulación peatonal ejecutadas en terrenos de pendiente promedio superior a 20%. Deben tener un ancho entre líneas oficiales no inferior a 4 m, con una faja pavimentada de un ancho no menor a 1,2 m dispuesta como escala, rampa o combinación de ambas.</w:t>
            </w:r>
          </w:p>
          <w:p w14:paraId="10B35470" w14:textId="77777777" w:rsidR="000268A7" w:rsidRPr="00787BF5" w:rsidRDefault="000268A7" w:rsidP="000268A7">
            <w:pPr>
              <w:jc w:val="both"/>
              <w:rPr>
                <w:rFonts w:cstheme="minorHAnsi"/>
                <w:sz w:val="20"/>
                <w:szCs w:val="20"/>
              </w:rPr>
            </w:pPr>
            <w:r w:rsidRPr="00787BF5">
              <w:rPr>
                <w:rFonts w:cstheme="minorHAnsi"/>
                <w:sz w:val="20"/>
                <w:szCs w:val="20"/>
              </w:rPr>
              <w:t xml:space="preserve">    Deben tener pendientes no superiores a 60% para el caso de escaleras y de hasta 15% para las rampas.</w:t>
            </w:r>
          </w:p>
          <w:p w14:paraId="1A4B2285" w14:textId="4ABAF872" w:rsidR="000268A7" w:rsidRPr="00AC4E0F" w:rsidRDefault="000268A7" w:rsidP="000268A7">
            <w:pPr>
              <w:ind w:left="164" w:right="127"/>
              <w:rPr>
                <w:sz w:val="20"/>
                <w:szCs w:val="20"/>
              </w:rPr>
            </w:pPr>
            <w:r w:rsidRPr="00787BF5">
              <w:rPr>
                <w:rFonts w:cstheme="minorHAnsi"/>
                <w:sz w:val="20"/>
                <w:szCs w:val="20"/>
              </w:rPr>
              <w:lastRenderedPageBreak/>
              <w:t xml:space="preserve">    Donde se requiere encauzar aguas lluvias se deberá consultar badenes longitudinales para su encauzamiento.</w:t>
            </w:r>
          </w:p>
        </w:tc>
        <w:tc>
          <w:tcPr>
            <w:tcW w:w="6662" w:type="dxa"/>
          </w:tcPr>
          <w:p w14:paraId="74E50538" w14:textId="77777777" w:rsidR="000268A7" w:rsidRPr="00787BF5" w:rsidRDefault="000268A7" w:rsidP="000268A7">
            <w:pPr>
              <w:jc w:val="both"/>
              <w:rPr>
                <w:rFonts w:cstheme="minorHAnsi"/>
                <w:sz w:val="20"/>
                <w:szCs w:val="20"/>
              </w:rPr>
            </w:pPr>
            <w:r w:rsidRPr="00787BF5">
              <w:rPr>
                <w:rFonts w:cstheme="minorHAnsi"/>
                <w:b/>
                <w:bCs/>
                <w:sz w:val="20"/>
                <w:szCs w:val="20"/>
              </w:rPr>
              <w:lastRenderedPageBreak/>
              <w:t>Artículo 2.3.3.</w:t>
            </w:r>
            <w:r w:rsidRPr="00787BF5">
              <w:rPr>
                <w:rFonts w:cstheme="minorHAnsi"/>
                <w:sz w:val="20"/>
                <w:szCs w:val="20"/>
              </w:rPr>
              <w:t xml:space="preserve"> Las vías de uso público para la circulación peatonal, se definirán considerando las siguientes características:</w:t>
            </w:r>
          </w:p>
          <w:p w14:paraId="11063E51" w14:textId="77777777" w:rsidR="000268A7" w:rsidRPr="00787BF5" w:rsidRDefault="000268A7" w:rsidP="000268A7">
            <w:pPr>
              <w:jc w:val="both"/>
              <w:rPr>
                <w:rFonts w:cstheme="minorHAnsi"/>
                <w:sz w:val="20"/>
                <w:szCs w:val="20"/>
              </w:rPr>
            </w:pPr>
          </w:p>
          <w:p w14:paraId="37915E67" w14:textId="77777777" w:rsidR="000268A7" w:rsidRPr="00787BF5" w:rsidRDefault="000268A7" w:rsidP="000268A7">
            <w:pPr>
              <w:jc w:val="both"/>
              <w:rPr>
                <w:rFonts w:cstheme="minorHAnsi"/>
                <w:sz w:val="20"/>
                <w:szCs w:val="20"/>
              </w:rPr>
            </w:pPr>
            <w:r w:rsidRPr="00787BF5">
              <w:rPr>
                <w:rFonts w:cstheme="minorHAnsi"/>
                <w:sz w:val="20"/>
                <w:szCs w:val="20"/>
              </w:rPr>
              <w:t xml:space="preserve">    1. Pasajes en general. Están destinados a la circulación de peatones y al tránsito eventual de vehículos.</w:t>
            </w:r>
          </w:p>
          <w:p w14:paraId="5EDF5900" w14:textId="77777777" w:rsidR="000268A7" w:rsidRPr="00787BF5" w:rsidRDefault="000268A7" w:rsidP="000268A7">
            <w:pPr>
              <w:jc w:val="both"/>
              <w:rPr>
                <w:rFonts w:cstheme="minorHAnsi"/>
                <w:sz w:val="20"/>
                <w:szCs w:val="20"/>
              </w:rPr>
            </w:pPr>
            <w:r w:rsidRPr="00787BF5">
              <w:rPr>
                <w:rFonts w:cstheme="minorHAnsi"/>
                <w:sz w:val="20"/>
                <w:szCs w:val="20"/>
              </w:rPr>
              <w:t xml:space="preserve">    Para que una vía sea considerada como pasaje, deberá tener un ancho no inferior a 8 metros ni superior a 11 metros, medidos entre líneas oficiales, debiendo cumplir con las siguientes condiciones:</w:t>
            </w:r>
          </w:p>
          <w:p w14:paraId="144197D3" w14:textId="77777777" w:rsidR="000268A7" w:rsidRPr="00787BF5" w:rsidRDefault="000268A7" w:rsidP="000268A7">
            <w:pPr>
              <w:jc w:val="both"/>
              <w:rPr>
                <w:rFonts w:cstheme="minorHAnsi"/>
                <w:sz w:val="20"/>
                <w:szCs w:val="20"/>
              </w:rPr>
            </w:pPr>
            <w:r>
              <w:rPr>
                <w:noProof/>
                <w:lang w:eastAsia="es-CL"/>
                <w14:ligatures w14:val="standardContextual"/>
              </w:rPr>
              <w:drawing>
                <wp:inline distT="0" distB="0" distL="0" distR="0" wp14:anchorId="21E7B412" wp14:editId="50F3D6AD">
                  <wp:extent cx="2600325" cy="936117"/>
                  <wp:effectExtent l="0" t="0" r="0" b="0"/>
                  <wp:docPr id="118007542" name="Imagen 11800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34632" name=""/>
                          <pic:cNvPicPr/>
                        </pic:nvPicPr>
                        <pic:blipFill rotWithShape="1">
                          <a:blip r:embed="rId8"/>
                          <a:srcRect l="38290" t="36720" r="15577" b="33740"/>
                          <a:stretch/>
                        </pic:blipFill>
                        <pic:spPr bwMode="auto">
                          <a:xfrm>
                            <a:off x="0" y="0"/>
                            <a:ext cx="2612707" cy="940575"/>
                          </a:xfrm>
                          <a:prstGeom prst="rect">
                            <a:avLst/>
                          </a:prstGeom>
                          <a:ln>
                            <a:noFill/>
                          </a:ln>
                          <a:extLst>
                            <a:ext uri="{53640926-AAD7-44D8-BBD7-CCE9431645EC}">
                              <a14:shadowObscured xmlns:a14="http://schemas.microsoft.com/office/drawing/2010/main"/>
                            </a:ext>
                          </a:extLst>
                        </pic:spPr>
                      </pic:pic>
                    </a:graphicData>
                  </a:graphic>
                </wp:inline>
              </w:drawing>
            </w:r>
          </w:p>
          <w:p w14:paraId="336A24AA" w14:textId="77777777" w:rsidR="000268A7" w:rsidRDefault="000268A7" w:rsidP="000268A7">
            <w:pPr>
              <w:jc w:val="both"/>
              <w:rPr>
                <w:rFonts w:cstheme="minorHAnsi"/>
                <w:sz w:val="20"/>
                <w:szCs w:val="20"/>
              </w:rPr>
            </w:pPr>
          </w:p>
          <w:p w14:paraId="0A0D4B47" w14:textId="1062067D" w:rsidR="000268A7" w:rsidRPr="00787BF5" w:rsidRDefault="000268A7" w:rsidP="000268A7">
            <w:pPr>
              <w:jc w:val="both"/>
              <w:rPr>
                <w:rFonts w:cstheme="minorHAnsi"/>
                <w:sz w:val="20"/>
                <w:szCs w:val="20"/>
              </w:rPr>
            </w:pPr>
            <w:r w:rsidRPr="00787BF5">
              <w:rPr>
                <w:rFonts w:cstheme="minorHAnsi"/>
                <w:sz w:val="20"/>
                <w:szCs w:val="20"/>
              </w:rPr>
              <w:t xml:space="preserve">    Los pasajes sin salida corresponden a aquellos a los cuales se accede sólo por uno de sus extremos desde una vía de circulación vehicular continua y contemplan en el otro extremo</w:t>
            </w:r>
            <w:r w:rsidR="00B114B6">
              <w:rPr>
                <w:rFonts w:cstheme="minorHAnsi"/>
                <w:sz w:val="20"/>
                <w:szCs w:val="20"/>
              </w:rPr>
              <w:t xml:space="preserve"> </w:t>
            </w:r>
            <w:proofErr w:type="gramStart"/>
            <w:r w:rsidR="00B114B6">
              <w:rPr>
                <w:rFonts w:cstheme="minorHAnsi"/>
                <w:sz w:val="20"/>
                <w:szCs w:val="20"/>
              </w:rPr>
              <w:t>un</w:t>
            </w:r>
            <w:r w:rsidR="00B114B6" w:rsidRPr="00B114B6">
              <w:rPr>
                <w:rFonts w:cstheme="minorHAnsi"/>
                <w:strike/>
                <w:sz w:val="20"/>
                <w:szCs w:val="20"/>
                <w:highlight w:val="yellow"/>
              </w:rPr>
              <w:t>a</w:t>
            </w:r>
            <w:r w:rsidRPr="00787BF5">
              <w:rPr>
                <w:rFonts w:cstheme="minorHAnsi"/>
                <w:sz w:val="20"/>
                <w:szCs w:val="20"/>
              </w:rPr>
              <w:t xml:space="preserve"> </w:t>
            </w:r>
            <w:r w:rsidR="00B114B6">
              <w:rPr>
                <w:rFonts w:cstheme="minorHAnsi"/>
                <w:sz w:val="20"/>
                <w:szCs w:val="20"/>
              </w:rPr>
              <w:t>á</w:t>
            </w:r>
            <w:r w:rsidRPr="00787BF5">
              <w:rPr>
                <w:rFonts w:cstheme="minorHAnsi"/>
                <w:sz w:val="20"/>
                <w:szCs w:val="20"/>
              </w:rPr>
              <w:t>rea pavimentada</w:t>
            </w:r>
            <w:proofErr w:type="gramEnd"/>
            <w:r w:rsidRPr="00787BF5">
              <w:rPr>
                <w:rFonts w:cstheme="minorHAnsi"/>
                <w:sz w:val="20"/>
                <w:szCs w:val="20"/>
              </w:rPr>
              <w:t xml:space="preserve"> que permita el giro en 180º de vehículos, incluidos los de emergencia, cuyo radio interior no sea inferior a 6 metros.</w:t>
            </w:r>
          </w:p>
          <w:p w14:paraId="3B0D9B24" w14:textId="77777777" w:rsidR="000268A7" w:rsidRPr="00787BF5" w:rsidRDefault="000268A7" w:rsidP="000268A7">
            <w:pPr>
              <w:jc w:val="both"/>
              <w:rPr>
                <w:rFonts w:cstheme="minorHAnsi"/>
                <w:sz w:val="20"/>
                <w:szCs w:val="20"/>
              </w:rPr>
            </w:pPr>
            <w:r w:rsidRPr="00787BF5">
              <w:rPr>
                <w:rFonts w:cstheme="minorHAnsi"/>
                <w:sz w:val="20"/>
                <w:szCs w:val="20"/>
              </w:rPr>
              <w:t xml:space="preserve">    Los pasajes con salida corresponden a aquellos en que por ambos extremos se accede a vías de circulación vehicular continua.</w:t>
            </w:r>
          </w:p>
          <w:p w14:paraId="14057E56" w14:textId="77777777" w:rsidR="000268A7" w:rsidRPr="00787BF5" w:rsidRDefault="000268A7" w:rsidP="000268A7">
            <w:pPr>
              <w:jc w:val="both"/>
              <w:rPr>
                <w:rFonts w:cstheme="minorHAnsi"/>
                <w:sz w:val="20"/>
                <w:szCs w:val="20"/>
              </w:rPr>
            </w:pPr>
            <w:r w:rsidRPr="00787BF5">
              <w:rPr>
                <w:rFonts w:cstheme="minorHAnsi"/>
                <w:sz w:val="20"/>
                <w:szCs w:val="20"/>
              </w:rPr>
              <w:t xml:space="preserve">    Con todo, los pasajes no podrán considerarse como acceso para los usos de suelo de infraestructura, actividades productivas, equipamiento y residencial, </w:t>
            </w:r>
            <w:r w:rsidRPr="00B114B6">
              <w:rPr>
                <w:rFonts w:cstheme="minorHAnsi"/>
                <w:sz w:val="20"/>
                <w:szCs w:val="20"/>
              </w:rPr>
              <w:t>con excepción</w:t>
            </w:r>
            <w:r w:rsidRPr="00773385">
              <w:rPr>
                <w:rFonts w:cstheme="minorHAnsi"/>
                <w:sz w:val="20"/>
                <w:szCs w:val="20"/>
                <w:highlight w:val="yellow"/>
              </w:rPr>
              <w:t xml:space="preserve"> </w:t>
            </w:r>
            <w:r w:rsidRPr="00773385">
              <w:rPr>
                <w:rFonts w:cstheme="minorHAnsi"/>
                <w:color w:val="FF0000"/>
                <w:sz w:val="20"/>
                <w:szCs w:val="20"/>
                <w:highlight w:val="yellow"/>
              </w:rPr>
              <w:t xml:space="preserve">de los equipamientos vecinales de clase social, y </w:t>
            </w:r>
            <w:r w:rsidRPr="00B114B6">
              <w:rPr>
                <w:rFonts w:cstheme="minorHAnsi"/>
                <w:sz w:val="20"/>
                <w:szCs w:val="20"/>
              </w:rPr>
              <w:t>del</w:t>
            </w:r>
            <w:r w:rsidRPr="00787BF5">
              <w:rPr>
                <w:rFonts w:cstheme="minorHAnsi"/>
                <w:sz w:val="20"/>
                <w:szCs w:val="20"/>
              </w:rPr>
              <w:t xml:space="preserve"> destino de vivienda. En este último caso los pasajes no podrán servir de acceso exclusivo a viviendas que excedan los dos pisos de altura más mansarda.</w:t>
            </w:r>
          </w:p>
          <w:p w14:paraId="31CC5CF2" w14:textId="77777777" w:rsidR="000268A7" w:rsidRPr="00787BF5" w:rsidRDefault="000268A7" w:rsidP="000268A7">
            <w:pPr>
              <w:jc w:val="both"/>
              <w:rPr>
                <w:rFonts w:cstheme="minorHAnsi"/>
                <w:sz w:val="20"/>
                <w:szCs w:val="20"/>
              </w:rPr>
            </w:pPr>
            <w:r w:rsidRPr="00787BF5">
              <w:rPr>
                <w:rFonts w:cstheme="minorHAnsi"/>
                <w:sz w:val="20"/>
                <w:szCs w:val="20"/>
              </w:rPr>
              <w:t xml:space="preserve">    Los pasajes peatonales exclusivos no podrán constituir el único acceso a las viviendas, salvo en los casos en que no existan vías públicas que le den acceso.</w:t>
            </w:r>
          </w:p>
          <w:p w14:paraId="08167022" w14:textId="77777777" w:rsidR="000268A7" w:rsidRPr="00787BF5" w:rsidRDefault="000268A7" w:rsidP="000268A7">
            <w:pPr>
              <w:jc w:val="both"/>
              <w:rPr>
                <w:rFonts w:cstheme="minorHAnsi"/>
                <w:sz w:val="20"/>
                <w:szCs w:val="20"/>
              </w:rPr>
            </w:pPr>
          </w:p>
          <w:p w14:paraId="5FD86F03" w14:textId="77777777" w:rsidR="000268A7" w:rsidRPr="00787BF5" w:rsidRDefault="000268A7" w:rsidP="000268A7">
            <w:pPr>
              <w:jc w:val="both"/>
              <w:rPr>
                <w:rFonts w:cstheme="minorHAnsi"/>
                <w:sz w:val="20"/>
                <w:szCs w:val="20"/>
              </w:rPr>
            </w:pPr>
            <w:r w:rsidRPr="00787BF5">
              <w:rPr>
                <w:rFonts w:cstheme="minorHAnsi"/>
                <w:sz w:val="20"/>
                <w:szCs w:val="20"/>
              </w:rPr>
              <w:t xml:space="preserve">    2. Pasajes en pendiente elevada: Son vías de uso público exclusivamente para la circulación peatonal ejecutadas en terrenos de pendiente promedio superior a 20%. Deben tener un ancho entre líneas oficiales no inferior a 4 m, con una faja pavimentada de un ancho no menor a 1,2 m dispuesta como escala, rampa o combinación de ambas.</w:t>
            </w:r>
          </w:p>
          <w:p w14:paraId="0D27BBCE" w14:textId="77777777" w:rsidR="000268A7" w:rsidRPr="00787BF5" w:rsidRDefault="000268A7" w:rsidP="000268A7">
            <w:pPr>
              <w:jc w:val="both"/>
              <w:rPr>
                <w:rFonts w:cstheme="minorHAnsi"/>
                <w:sz w:val="20"/>
                <w:szCs w:val="20"/>
              </w:rPr>
            </w:pPr>
            <w:r w:rsidRPr="00787BF5">
              <w:rPr>
                <w:rFonts w:cstheme="minorHAnsi"/>
                <w:sz w:val="20"/>
                <w:szCs w:val="20"/>
              </w:rPr>
              <w:t xml:space="preserve">    Deben tener pendientes no superiores a 60% para el caso de escaleras y de hasta 15% para las rampas.</w:t>
            </w:r>
          </w:p>
          <w:p w14:paraId="4F77F666" w14:textId="485C8F06" w:rsidR="000268A7" w:rsidRPr="00AC4E0F" w:rsidRDefault="000268A7" w:rsidP="000268A7">
            <w:pPr>
              <w:ind w:left="164" w:right="127"/>
              <w:rPr>
                <w:sz w:val="20"/>
                <w:szCs w:val="20"/>
              </w:rPr>
            </w:pPr>
            <w:r w:rsidRPr="00787BF5">
              <w:rPr>
                <w:rFonts w:cstheme="minorHAnsi"/>
                <w:sz w:val="20"/>
                <w:szCs w:val="20"/>
              </w:rPr>
              <w:t xml:space="preserve">    Donde se requiere encauzar aguas lluvias se deberá consultar badenes longitudinales para su encauzamiento.</w:t>
            </w:r>
          </w:p>
        </w:tc>
        <w:tc>
          <w:tcPr>
            <w:tcW w:w="5954" w:type="dxa"/>
          </w:tcPr>
          <w:p w14:paraId="483475BB" w14:textId="77777777" w:rsidR="000268A7" w:rsidRDefault="000268A7" w:rsidP="00AC4E0F">
            <w:pPr>
              <w:ind w:left="74" w:right="173"/>
              <w:jc w:val="both"/>
              <w:rPr>
                <w:rFonts w:cstheme="minorHAnsi"/>
                <w:spacing w:val="-3"/>
                <w:sz w:val="20"/>
                <w:szCs w:val="20"/>
              </w:rPr>
            </w:pPr>
          </w:p>
        </w:tc>
      </w:tr>
    </w:tbl>
    <w:p w14:paraId="26CAD2E4" w14:textId="226DD833" w:rsidR="003F6D62" w:rsidRPr="003F6D62" w:rsidRDefault="003F6D62" w:rsidP="00DA7787"/>
    <w:sectPr w:rsidR="003F6D62" w:rsidRPr="003F6D62" w:rsidSect="003E583E">
      <w:headerReference w:type="default" r:id="rId9"/>
      <w:footerReference w:type="default" r:id="rId10"/>
      <w:headerReference w:type="first" r:id="rId11"/>
      <w:pgSz w:w="24477" w:h="15842" w:orient="landscape" w:code="3"/>
      <w:pgMar w:top="1304" w:right="1474" w:bottom="1304"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D246" w14:textId="77777777" w:rsidR="00996C78" w:rsidRDefault="00996C78" w:rsidP="0020013C">
      <w:pPr>
        <w:spacing w:after="0" w:line="240" w:lineRule="auto"/>
      </w:pPr>
      <w:r>
        <w:separator/>
      </w:r>
    </w:p>
  </w:endnote>
  <w:endnote w:type="continuationSeparator" w:id="0">
    <w:p w14:paraId="07B67F68" w14:textId="77777777" w:rsidR="00996C78" w:rsidRDefault="00996C78" w:rsidP="0020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107920"/>
      <w:docPartObj>
        <w:docPartGallery w:val="Page Numbers (Bottom of Page)"/>
        <w:docPartUnique/>
      </w:docPartObj>
    </w:sdtPr>
    <w:sdtEndPr/>
    <w:sdtContent>
      <w:p w14:paraId="2CFD4677" w14:textId="731D9785" w:rsidR="000C0B4B" w:rsidRDefault="000C0B4B" w:rsidP="0020013C">
        <w:pPr>
          <w:pStyle w:val="Piedepgina"/>
          <w:tabs>
            <w:tab w:val="clear" w:pos="4419"/>
            <w:tab w:val="clear" w:pos="8838"/>
            <w:tab w:val="left" w:pos="0"/>
            <w:tab w:val="right" w:pos="12049"/>
          </w:tabs>
          <w:jc w:val="both"/>
        </w:pPr>
        <w:r>
          <w:t>División de Desarrollo Urbano – Departamento de Planificación y Normas Urbanas</w:t>
        </w:r>
        <w:r>
          <w:tab/>
        </w:r>
        <w:r>
          <w:tab/>
        </w:r>
        <w:r>
          <w:fldChar w:fldCharType="begin"/>
        </w:r>
        <w:r>
          <w:instrText>PAGE   \* MERGEFORMAT</w:instrText>
        </w:r>
        <w:r>
          <w:fldChar w:fldCharType="separate"/>
        </w:r>
        <w:r w:rsidR="00E62770" w:rsidRPr="00E62770">
          <w:rPr>
            <w:noProof/>
            <w:lang w:val="es-ES"/>
          </w:rPr>
          <w:t>4</w:t>
        </w:r>
        <w:r>
          <w:fldChar w:fldCharType="end"/>
        </w:r>
      </w:p>
    </w:sdtContent>
  </w:sdt>
  <w:p w14:paraId="0B84FB48" w14:textId="77777777" w:rsidR="000C0B4B" w:rsidRDefault="000C0B4B" w:rsidP="0020013C">
    <w:pPr>
      <w:pStyle w:val="Piedepgina"/>
      <w:tabs>
        <w:tab w:val="clear" w:pos="4419"/>
        <w:tab w:val="clear" w:pos="8838"/>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454E" w14:textId="77777777" w:rsidR="00996C78" w:rsidRDefault="00996C78" w:rsidP="0020013C">
      <w:pPr>
        <w:spacing w:after="0" w:line="240" w:lineRule="auto"/>
      </w:pPr>
      <w:r>
        <w:separator/>
      </w:r>
    </w:p>
  </w:footnote>
  <w:footnote w:type="continuationSeparator" w:id="0">
    <w:p w14:paraId="47668F6E" w14:textId="77777777" w:rsidR="00996C78" w:rsidRDefault="00996C78" w:rsidP="00200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1E62" w14:textId="77777777" w:rsidR="000C0B4B" w:rsidRDefault="000C0B4B">
    <w:pPr>
      <w:pStyle w:val="Encabezado"/>
    </w:pPr>
  </w:p>
  <w:p w14:paraId="44915BA9" w14:textId="77777777" w:rsidR="000C0B4B" w:rsidRDefault="000C0B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1D51" w14:textId="77777777" w:rsidR="000C0B4B" w:rsidRDefault="000C0B4B" w:rsidP="0020013C">
    <w:pPr>
      <w:pStyle w:val="Encabezado"/>
      <w:ind w:firstLine="708"/>
    </w:pPr>
    <w:r w:rsidRPr="000E1104">
      <w:rPr>
        <w:noProof/>
        <w:lang w:eastAsia="es-CL"/>
      </w:rPr>
      <w:drawing>
        <wp:anchor distT="0" distB="0" distL="114300" distR="114300" simplePos="0" relativeHeight="251659264" behindDoc="1" locked="0" layoutInCell="1" allowOverlap="1" wp14:anchorId="110817BD" wp14:editId="7E83633B">
          <wp:simplePos x="0" y="0"/>
          <wp:positionH relativeFrom="margin">
            <wp:align>left</wp:align>
          </wp:positionH>
          <wp:positionV relativeFrom="paragraph">
            <wp:posOffset>-96269</wp:posOffset>
          </wp:positionV>
          <wp:extent cx="1028700" cy="962025"/>
          <wp:effectExtent l="0" t="0" r="0" b="9525"/>
          <wp:wrapThrough wrapText="bothSides">
            <wp:wrapPolygon edited="0">
              <wp:start x="0" y="0"/>
              <wp:lineTo x="0" y="21386"/>
              <wp:lineTo x="21200" y="21386"/>
              <wp:lineTo x="21200" y="0"/>
              <wp:lineTo x="0" y="0"/>
            </wp:wrapPolygon>
          </wp:wrapThrough>
          <wp:docPr id="2"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vienda-y-urbanismo"/>
                  <pic:cNvPicPr>
                    <a:picLocks noChangeAspect="1" noChangeArrowheads="1"/>
                  </pic:cNvPicPr>
                </pic:nvPicPr>
                <pic:blipFill>
                  <a:blip r:embed="rId1" cstate="print"/>
                  <a:srcRect/>
                  <a:stretch>
                    <a:fillRect/>
                  </a:stretch>
                </pic:blipFill>
                <pic:spPr bwMode="auto">
                  <a:xfrm>
                    <a:off x="0" y="0"/>
                    <a:ext cx="1028700" cy="962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7BF445"/>
    <w:multiLevelType w:val="hybridMultilevel"/>
    <w:tmpl w:val="4C0779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9DD479"/>
    <w:multiLevelType w:val="hybridMultilevel"/>
    <w:tmpl w:val="7A1FC5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E45B11"/>
    <w:multiLevelType w:val="hybridMultilevel"/>
    <w:tmpl w:val="ADA63CA8"/>
    <w:lvl w:ilvl="0" w:tplc="340A000F">
      <w:start w:val="1"/>
      <w:numFmt w:val="decimal"/>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3" w15:restartNumberingAfterBreak="0">
    <w:nsid w:val="0D2329A5"/>
    <w:multiLevelType w:val="hybridMultilevel"/>
    <w:tmpl w:val="C51413C6"/>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4" w15:restartNumberingAfterBreak="0">
    <w:nsid w:val="15ED4AF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C83496"/>
    <w:multiLevelType w:val="hybridMultilevel"/>
    <w:tmpl w:val="C51413C6"/>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6" w15:restartNumberingAfterBreak="0">
    <w:nsid w:val="1ACF9781"/>
    <w:multiLevelType w:val="hybridMultilevel"/>
    <w:tmpl w:val="400656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8D9A9D"/>
    <w:multiLevelType w:val="hybridMultilevel"/>
    <w:tmpl w:val="69043F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291F218"/>
    <w:multiLevelType w:val="hybridMultilevel"/>
    <w:tmpl w:val="68FAF9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DC1A62"/>
    <w:multiLevelType w:val="hybridMultilevel"/>
    <w:tmpl w:val="BCB4FF62"/>
    <w:lvl w:ilvl="0" w:tplc="F1862E0A">
      <w:start w:val="5"/>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E35A3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B6E7523"/>
    <w:multiLevelType w:val="hybridMultilevel"/>
    <w:tmpl w:val="EF262B50"/>
    <w:lvl w:ilvl="0" w:tplc="2CF87AD6">
      <w:start w:val="1"/>
      <w:numFmt w:val="decimal"/>
      <w:lvlText w:val="%1."/>
      <w:lvlJc w:val="left"/>
      <w:pPr>
        <w:ind w:left="524" w:hanging="360"/>
      </w:pPr>
      <w:rPr>
        <w:rFonts w:hint="default"/>
      </w:rPr>
    </w:lvl>
    <w:lvl w:ilvl="1" w:tplc="340A0019" w:tentative="1">
      <w:start w:val="1"/>
      <w:numFmt w:val="lowerLetter"/>
      <w:lvlText w:val="%2."/>
      <w:lvlJc w:val="left"/>
      <w:pPr>
        <w:ind w:left="1244" w:hanging="360"/>
      </w:p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num w:numId="1" w16cid:durableId="1844936461">
    <w:abstractNumId w:val="2"/>
  </w:num>
  <w:num w:numId="2" w16cid:durableId="1359814138">
    <w:abstractNumId w:val="11"/>
  </w:num>
  <w:num w:numId="3" w16cid:durableId="1345085639">
    <w:abstractNumId w:val="10"/>
  </w:num>
  <w:num w:numId="4" w16cid:durableId="1139957119">
    <w:abstractNumId w:val="4"/>
  </w:num>
  <w:num w:numId="5" w16cid:durableId="218369239">
    <w:abstractNumId w:val="9"/>
  </w:num>
  <w:num w:numId="6" w16cid:durableId="2037123134">
    <w:abstractNumId w:val="8"/>
  </w:num>
  <w:num w:numId="7" w16cid:durableId="194848129">
    <w:abstractNumId w:val="6"/>
  </w:num>
  <w:num w:numId="8" w16cid:durableId="1397778972">
    <w:abstractNumId w:val="7"/>
  </w:num>
  <w:num w:numId="9" w16cid:durableId="1151290805">
    <w:abstractNumId w:val="0"/>
  </w:num>
  <w:num w:numId="10" w16cid:durableId="1053776293">
    <w:abstractNumId w:val="1"/>
  </w:num>
  <w:num w:numId="11" w16cid:durableId="1919702903">
    <w:abstractNumId w:val="3"/>
  </w:num>
  <w:num w:numId="12" w16cid:durableId="138225019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3C"/>
    <w:rsid w:val="00000C9E"/>
    <w:rsid w:val="00002252"/>
    <w:rsid w:val="0000554C"/>
    <w:rsid w:val="000073D7"/>
    <w:rsid w:val="00007CAD"/>
    <w:rsid w:val="00007EBC"/>
    <w:rsid w:val="000127B5"/>
    <w:rsid w:val="0001659A"/>
    <w:rsid w:val="00020030"/>
    <w:rsid w:val="000200AA"/>
    <w:rsid w:val="00020EF2"/>
    <w:rsid w:val="000259E4"/>
    <w:rsid w:val="000268A7"/>
    <w:rsid w:val="00034A44"/>
    <w:rsid w:val="00035821"/>
    <w:rsid w:val="00037709"/>
    <w:rsid w:val="00052036"/>
    <w:rsid w:val="00053599"/>
    <w:rsid w:val="0005509A"/>
    <w:rsid w:val="00061151"/>
    <w:rsid w:val="000623B5"/>
    <w:rsid w:val="00063187"/>
    <w:rsid w:val="000648D4"/>
    <w:rsid w:val="00065641"/>
    <w:rsid w:val="00065C6E"/>
    <w:rsid w:val="00072A54"/>
    <w:rsid w:val="00075790"/>
    <w:rsid w:val="00075B16"/>
    <w:rsid w:val="000765AF"/>
    <w:rsid w:val="00077D43"/>
    <w:rsid w:val="00082C35"/>
    <w:rsid w:val="000859B6"/>
    <w:rsid w:val="00086B0E"/>
    <w:rsid w:val="000955A8"/>
    <w:rsid w:val="000A0309"/>
    <w:rsid w:val="000A221B"/>
    <w:rsid w:val="000A2CDA"/>
    <w:rsid w:val="000A3092"/>
    <w:rsid w:val="000A34FC"/>
    <w:rsid w:val="000A5E15"/>
    <w:rsid w:val="000B7C30"/>
    <w:rsid w:val="000C0B4B"/>
    <w:rsid w:val="000C13D1"/>
    <w:rsid w:val="000C5121"/>
    <w:rsid w:val="000C5A55"/>
    <w:rsid w:val="000C7043"/>
    <w:rsid w:val="000D32A7"/>
    <w:rsid w:val="000E0263"/>
    <w:rsid w:val="000F3E43"/>
    <w:rsid w:val="000F5BD2"/>
    <w:rsid w:val="000F61F6"/>
    <w:rsid w:val="000F6BE1"/>
    <w:rsid w:val="00101BE0"/>
    <w:rsid w:val="00103234"/>
    <w:rsid w:val="00105F42"/>
    <w:rsid w:val="00111DE6"/>
    <w:rsid w:val="00116E70"/>
    <w:rsid w:val="001271A1"/>
    <w:rsid w:val="001353C3"/>
    <w:rsid w:val="0013561C"/>
    <w:rsid w:val="001368BB"/>
    <w:rsid w:val="00151C0E"/>
    <w:rsid w:val="0015740D"/>
    <w:rsid w:val="001600CF"/>
    <w:rsid w:val="001604E7"/>
    <w:rsid w:val="00164C8E"/>
    <w:rsid w:val="001776AE"/>
    <w:rsid w:val="00177DE5"/>
    <w:rsid w:val="0018126D"/>
    <w:rsid w:val="00181800"/>
    <w:rsid w:val="00182130"/>
    <w:rsid w:val="00185426"/>
    <w:rsid w:val="001865C4"/>
    <w:rsid w:val="0018731E"/>
    <w:rsid w:val="00191F11"/>
    <w:rsid w:val="00193B4E"/>
    <w:rsid w:val="001968C3"/>
    <w:rsid w:val="00196C0F"/>
    <w:rsid w:val="0019718E"/>
    <w:rsid w:val="001A2DB6"/>
    <w:rsid w:val="001A3BAD"/>
    <w:rsid w:val="001A5CFA"/>
    <w:rsid w:val="001A6E6B"/>
    <w:rsid w:val="001A74D2"/>
    <w:rsid w:val="001B2BE1"/>
    <w:rsid w:val="001B6E70"/>
    <w:rsid w:val="001B7031"/>
    <w:rsid w:val="001C1BFD"/>
    <w:rsid w:val="001C2216"/>
    <w:rsid w:val="001C325B"/>
    <w:rsid w:val="001D119A"/>
    <w:rsid w:val="001E4818"/>
    <w:rsid w:val="001E5768"/>
    <w:rsid w:val="001E59CB"/>
    <w:rsid w:val="001E6096"/>
    <w:rsid w:val="001E6810"/>
    <w:rsid w:val="001F35FB"/>
    <w:rsid w:val="001F6994"/>
    <w:rsid w:val="001F6A9D"/>
    <w:rsid w:val="001F6DB2"/>
    <w:rsid w:val="001F713A"/>
    <w:rsid w:val="001F731D"/>
    <w:rsid w:val="001F7383"/>
    <w:rsid w:val="0020013C"/>
    <w:rsid w:val="00202276"/>
    <w:rsid w:val="0021266D"/>
    <w:rsid w:val="00212822"/>
    <w:rsid w:val="00216BDD"/>
    <w:rsid w:val="00221199"/>
    <w:rsid w:val="00223A7D"/>
    <w:rsid w:val="00223D8C"/>
    <w:rsid w:val="00225949"/>
    <w:rsid w:val="002268DC"/>
    <w:rsid w:val="00226DF6"/>
    <w:rsid w:val="00230555"/>
    <w:rsid w:val="00234427"/>
    <w:rsid w:val="00235086"/>
    <w:rsid w:val="00242C0A"/>
    <w:rsid w:val="00242C10"/>
    <w:rsid w:val="002460EA"/>
    <w:rsid w:val="002461B8"/>
    <w:rsid w:val="0024680C"/>
    <w:rsid w:val="002523D0"/>
    <w:rsid w:val="0025381B"/>
    <w:rsid w:val="00256FEE"/>
    <w:rsid w:val="0026102F"/>
    <w:rsid w:val="00263BE7"/>
    <w:rsid w:val="00263CFE"/>
    <w:rsid w:val="0026527A"/>
    <w:rsid w:val="0026660E"/>
    <w:rsid w:val="0027179E"/>
    <w:rsid w:val="00273ECC"/>
    <w:rsid w:val="00276A01"/>
    <w:rsid w:val="00282A2D"/>
    <w:rsid w:val="0028513E"/>
    <w:rsid w:val="00286C8D"/>
    <w:rsid w:val="00290FBC"/>
    <w:rsid w:val="00292C20"/>
    <w:rsid w:val="002A0575"/>
    <w:rsid w:val="002A3F7B"/>
    <w:rsid w:val="002A44B4"/>
    <w:rsid w:val="002B268B"/>
    <w:rsid w:val="002B3A7E"/>
    <w:rsid w:val="002C2498"/>
    <w:rsid w:val="002C67C5"/>
    <w:rsid w:val="002D1C76"/>
    <w:rsid w:val="002D432E"/>
    <w:rsid w:val="002D52D9"/>
    <w:rsid w:val="002E0431"/>
    <w:rsid w:val="002E256D"/>
    <w:rsid w:val="002E2647"/>
    <w:rsid w:val="002E2BFA"/>
    <w:rsid w:val="002E3F48"/>
    <w:rsid w:val="002E42BE"/>
    <w:rsid w:val="002E5D2A"/>
    <w:rsid w:val="00300191"/>
    <w:rsid w:val="003069A9"/>
    <w:rsid w:val="00307E30"/>
    <w:rsid w:val="003103CF"/>
    <w:rsid w:val="0031068C"/>
    <w:rsid w:val="003114B2"/>
    <w:rsid w:val="0031395D"/>
    <w:rsid w:val="00320B8D"/>
    <w:rsid w:val="00320D4A"/>
    <w:rsid w:val="003270AA"/>
    <w:rsid w:val="00340A61"/>
    <w:rsid w:val="0034458F"/>
    <w:rsid w:val="00346D63"/>
    <w:rsid w:val="00346D7D"/>
    <w:rsid w:val="00351CAC"/>
    <w:rsid w:val="0035233B"/>
    <w:rsid w:val="003527BA"/>
    <w:rsid w:val="00352975"/>
    <w:rsid w:val="00354C58"/>
    <w:rsid w:val="00360A07"/>
    <w:rsid w:val="00361F75"/>
    <w:rsid w:val="00363575"/>
    <w:rsid w:val="00364BA1"/>
    <w:rsid w:val="00366E75"/>
    <w:rsid w:val="003721A5"/>
    <w:rsid w:val="00387DC2"/>
    <w:rsid w:val="00391F1C"/>
    <w:rsid w:val="003938C4"/>
    <w:rsid w:val="00394ADD"/>
    <w:rsid w:val="003A0C2E"/>
    <w:rsid w:val="003A2196"/>
    <w:rsid w:val="003A2E50"/>
    <w:rsid w:val="003A50EF"/>
    <w:rsid w:val="003B6001"/>
    <w:rsid w:val="003B646F"/>
    <w:rsid w:val="003D0282"/>
    <w:rsid w:val="003D098C"/>
    <w:rsid w:val="003D7254"/>
    <w:rsid w:val="003E0642"/>
    <w:rsid w:val="003E0C21"/>
    <w:rsid w:val="003E583E"/>
    <w:rsid w:val="003F2428"/>
    <w:rsid w:val="003F3C92"/>
    <w:rsid w:val="003F6D62"/>
    <w:rsid w:val="00407FAE"/>
    <w:rsid w:val="00412B03"/>
    <w:rsid w:val="00417B12"/>
    <w:rsid w:val="00423C72"/>
    <w:rsid w:val="00430054"/>
    <w:rsid w:val="004306E6"/>
    <w:rsid w:val="0043200C"/>
    <w:rsid w:val="00433D25"/>
    <w:rsid w:val="00435C5C"/>
    <w:rsid w:val="004377CF"/>
    <w:rsid w:val="0044269C"/>
    <w:rsid w:val="00442C05"/>
    <w:rsid w:val="0044329D"/>
    <w:rsid w:val="00444149"/>
    <w:rsid w:val="00445763"/>
    <w:rsid w:val="00450270"/>
    <w:rsid w:val="0045357F"/>
    <w:rsid w:val="00463496"/>
    <w:rsid w:val="00464C68"/>
    <w:rsid w:val="00466E40"/>
    <w:rsid w:val="00471F07"/>
    <w:rsid w:val="0047307E"/>
    <w:rsid w:val="00477CF4"/>
    <w:rsid w:val="00480034"/>
    <w:rsid w:val="00485EA7"/>
    <w:rsid w:val="00486ADD"/>
    <w:rsid w:val="00491508"/>
    <w:rsid w:val="004920B2"/>
    <w:rsid w:val="004949B8"/>
    <w:rsid w:val="00496B21"/>
    <w:rsid w:val="004A0210"/>
    <w:rsid w:val="004A1D24"/>
    <w:rsid w:val="004A2427"/>
    <w:rsid w:val="004B2C5B"/>
    <w:rsid w:val="004B620C"/>
    <w:rsid w:val="004B644C"/>
    <w:rsid w:val="004B6DC5"/>
    <w:rsid w:val="004C0297"/>
    <w:rsid w:val="004C4E80"/>
    <w:rsid w:val="004E020A"/>
    <w:rsid w:val="004E04FE"/>
    <w:rsid w:val="004E3798"/>
    <w:rsid w:val="004E390D"/>
    <w:rsid w:val="004F0A99"/>
    <w:rsid w:val="004F21C4"/>
    <w:rsid w:val="004F3A16"/>
    <w:rsid w:val="00502109"/>
    <w:rsid w:val="00503116"/>
    <w:rsid w:val="00503CBE"/>
    <w:rsid w:val="00505A58"/>
    <w:rsid w:val="005077AD"/>
    <w:rsid w:val="005109F8"/>
    <w:rsid w:val="00515356"/>
    <w:rsid w:val="00515B18"/>
    <w:rsid w:val="0051793B"/>
    <w:rsid w:val="00520043"/>
    <w:rsid w:val="00520E00"/>
    <w:rsid w:val="00521441"/>
    <w:rsid w:val="00523980"/>
    <w:rsid w:val="00527462"/>
    <w:rsid w:val="005314C2"/>
    <w:rsid w:val="005342C3"/>
    <w:rsid w:val="0053640E"/>
    <w:rsid w:val="00536FF3"/>
    <w:rsid w:val="005412CC"/>
    <w:rsid w:val="00543DEE"/>
    <w:rsid w:val="00544245"/>
    <w:rsid w:val="00544985"/>
    <w:rsid w:val="00545130"/>
    <w:rsid w:val="005464C3"/>
    <w:rsid w:val="005468FC"/>
    <w:rsid w:val="0055324A"/>
    <w:rsid w:val="00557E3F"/>
    <w:rsid w:val="005709FE"/>
    <w:rsid w:val="00570EA9"/>
    <w:rsid w:val="00571641"/>
    <w:rsid w:val="0057240D"/>
    <w:rsid w:val="005726B1"/>
    <w:rsid w:val="005758D5"/>
    <w:rsid w:val="00576F10"/>
    <w:rsid w:val="00581BA2"/>
    <w:rsid w:val="00587BB1"/>
    <w:rsid w:val="00594F79"/>
    <w:rsid w:val="00597B25"/>
    <w:rsid w:val="005A45D0"/>
    <w:rsid w:val="005B065C"/>
    <w:rsid w:val="005B17A4"/>
    <w:rsid w:val="005B6C0F"/>
    <w:rsid w:val="005B77A6"/>
    <w:rsid w:val="005C1DEC"/>
    <w:rsid w:val="005C2EAB"/>
    <w:rsid w:val="005C62D4"/>
    <w:rsid w:val="005D4E00"/>
    <w:rsid w:val="005E0C0B"/>
    <w:rsid w:val="005F5442"/>
    <w:rsid w:val="005F55AF"/>
    <w:rsid w:val="00602193"/>
    <w:rsid w:val="00602701"/>
    <w:rsid w:val="00610664"/>
    <w:rsid w:val="006123C2"/>
    <w:rsid w:val="00613C42"/>
    <w:rsid w:val="0061648F"/>
    <w:rsid w:val="006170E0"/>
    <w:rsid w:val="00617224"/>
    <w:rsid w:val="00617F82"/>
    <w:rsid w:val="00624016"/>
    <w:rsid w:val="006249EB"/>
    <w:rsid w:val="00633EF9"/>
    <w:rsid w:val="00641434"/>
    <w:rsid w:val="00641922"/>
    <w:rsid w:val="006433EE"/>
    <w:rsid w:val="00644504"/>
    <w:rsid w:val="00645244"/>
    <w:rsid w:val="00647896"/>
    <w:rsid w:val="0065414D"/>
    <w:rsid w:val="00657348"/>
    <w:rsid w:val="00661FA8"/>
    <w:rsid w:val="00665BE6"/>
    <w:rsid w:val="00671521"/>
    <w:rsid w:val="0067155E"/>
    <w:rsid w:val="00672D63"/>
    <w:rsid w:val="00673402"/>
    <w:rsid w:val="006737C4"/>
    <w:rsid w:val="0068462D"/>
    <w:rsid w:val="00685EAE"/>
    <w:rsid w:val="0068602E"/>
    <w:rsid w:val="0069076A"/>
    <w:rsid w:val="00696D77"/>
    <w:rsid w:val="0069752D"/>
    <w:rsid w:val="006A3357"/>
    <w:rsid w:val="006A4172"/>
    <w:rsid w:val="006A7709"/>
    <w:rsid w:val="006A7A3E"/>
    <w:rsid w:val="006B61E0"/>
    <w:rsid w:val="006B7FE7"/>
    <w:rsid w:val="006C7199"/>
    <w:rsid w:val="006C73A6"/>
    <w:rsid w:val="006C7CE3"/>
    <w:rsid w:val="006D08C2"/>
    <w:rsid w:val="006D32C1"/>
    <w:rsid w:val="006D33AB"/>
    <w:rsid w:val="006D55AC"/>
    <w:rsid w:val="006E19F8"/>
    <w:rsid w:val="006F0D07"/>
    <w:rsid w:val="006F12BE"/>
    <w:rsid w:val="006F1C0E"/>
    <w:rsid w:val="006F20DC"/>
    <w:rsid w:val="006F2393"/>
    <w:rsid w:val="006F24FD"/>
    <w:rsid w:val="006F3CBC"/>
    <w:rsid w:val="007069AB"/>
    <w:rsid w:val="00715885"/>
    <w:rsid w:val="00716B48"/>
    <w:rsid w:val="0071716D"/>
    <w:rsid w:val="00717471"/>
    <w:rsid w:val="00732EC4"/>
    <w:rsid w:val="00735C89"/>
    <w:rsid w:val="00745A9E"/>
    <w:rsid w:val="007477FB"/>
    <w:rsid w:val="00755881"/>
    <w:rsid w:val="00761901"/>
    <w:rsid w:val="00763472"/>
    <w:rsid w:val="0077115C"/>
    <w:rsid w:val="007714D5"/>
    <w:rsid w:val="00777D0B"/>
    <w:rsid w:val="007809F3"/>
    <w:rsid w:val="00786A29"/>
    <w:rsid w:val="00790250"/>
    <w:rsid w:val="007902D6"/>
    <w:rsid w:val="00790EB3"/>
    <w:rsid w:val="007959B0"/>
    <w:rsid w:val="007A184A"/>
    <w:rsid w:val="007A4A16"/>
    <w:rsid w:val="007B1D61"/>
    <w:rsid w:val="007B29A1"/>
    <w:rsid w:val="007B694A"/>
    <w:rsid w:val="007B6C4B"/>
    <w:rsid w:val="007B791D"/>
    <w:rsid w:val="007C26AE"/>
    <w:rsid w:val="007C7658"/>
    <w:rsid w:val="007C7692"/>
    <w:rsid w:val="007D02BD"/>
    <w:rsid w:val="007D08D3"/>
    <w:rsid w:val="007D1680"/>
    <w:rsid w:val="007D1DF2"/>
    <w:rsid w:val="007D23F7"/>
    <w:rsid w:val="007D320D"/>
    <w:rsid w:val="007D72D0"/>
    <w:rsid w:val="007F2930"/>
    <w:rsid w:val="008034F9"/>
    <w:rsid w:val="008065E8"/>
    <w:rsid w:val="00807B3A"/>
    <w:rsid w:val="00810B57"/>
    <w:rsid w:val="00815550"/>
    <w:rsid w:val="00817923"/>
    <w:rsid w:val="00822D16"/>
    <w:rsid w:val="00825149"/>
    <w:rsid w:val="00830702"/>
    <w:rsid w:val="00834E8C"/>
    <w:rsid w:val="00842FBC"/>
    <w:rsid w:val="008442BE"/>
    <w:rsid w:val="00850229"/>
    <w:rsid w:val="00852FD6"/>
    <w:rsid w:val="00856D5C"/>
    <w:rsid w:val="00857555"/>
    <w:rsid w:val="008643FC"/>
    <w:rsid w:val="00870132"/>
    <w:rsid w:val="00870828"/>
    <w:rsid w:val="00877902"/>
    <w:rsid w:val="008806F2"/>
    <w:rsid w:val="008808D8"/>
    <w:rsid w:val="00880C33"/>
    <w:rsid w:val="008830D8"/>
    <w:rsid w:val="00883233"/>
    <w:rsid w:val="00885A05"/>
    <w:rsid w:val="00886016"/>
    <w:rsid w:val="00886853"/>
    <w:rsid w:val="00887784"/>
    <w:rsid w:val="00891076"/>
    <w:rsid w:val="00892330"/>
    <w:rsid w:val="008926CD"/>
    <w:rsid w:val="00894EF8"/>
    <w:rsid w:val="008A5510"/>
    <w:rsid w:val="008A5702"/>
    <w:rsid w:val="008A705F"/>
    <w:rsid w:val="008B0471"/>
    <w:rsid w:val="008B15CD"/>
    <w:rsid w:val="008B1C50"/>
    <w:rsid w:val="008B2B0F"/>
    <w:rsid w:val="008B3F50"/>
    <w:rsid w:val="008B50F1"/>
    <w:rsid w:val="008C20B7"/>
    <w:rsid w:val="008C24CB"/>
    <w:rsid w:val="008C4F82"/>
    <w:rsid w:val="008C5175"/>
    <w:rsid w:val="008C535B"/>
    <w:rsid w:val="008C7E5D"/>
    <w:rsid w:val="008D3E2F"/>
    <w:rsid w:val="008D6E77"/>
    <w:rsid w:val="008E2CE1"/>
    <w:rsid w:val="008E3C06"/>
    <w:rsid w:val="008E61E7"/>
    <w:rsid w:val="008F15C3"/>
    <w:rsid w:val="008F28F3"/>
    <w:rsid w:val="008F557E"/>
    <w:rsid w:val="00901D1B"/>
    <w:rsid w:val="0090228A"/>
    <w:rsid w:val="00903FCD"/>
    <w:rsid w:val="0090483C"/>
    <w:rsid w:val="00907AB9"/>
    <w:rsid w:val="009117B8"/>
    <w:rsid w:val="00924502"/>
    <w:rsid w:val="00926E65"/>
    <w:rsid w:val="009270C7"/>
    <w:rsid w:val="00930F50"/>
    <w:rsid w:val="0093194E"/>
    <w:rsid w:val="00934399"/>
    <w:rsid w:val="0093727B"/>
    <w:rsid w:val="00940450"/>
    <w:rsid w:val="00940D32"/>
    <w:rsid w:val="009412DD"/>
    <w:rsid w:val="00944D81"/>
    <w:rsid w:val="009519A1"/>
    <w:rsid w:val="00955B03"/>
    <w:rsid w:val="0095602D"/>
    <w:rsid w:val="009630B1"/>
    <w:rsid w:val="009651D3"/>
    <w:rsid w:val="00965BDE"/>
    <w:rsid w:val="00965FD5"/>
    <w:rsid w:val="00967577"/>
    <w:rsid w:val="00970EB6"/>
    <w:rsid w:val="009716B8"/>
    <w:rsid w:val="00974C0F"/>
    <w:rsid w:val="00974C4D"/>
    <w:rsid w:val="009759F3"/>
    <w:rsid w:val="0097605B"/>
    <w:rsid w:val="00981520"/>
    <w:rsid w:val="00985385"/>
    <w:rsid w:val="009857B5"/>
    <w:rsid w:val="00986006"/>
    <w:rsid w:val="00996C78"/>
    <w:rsid w:val="0099708F"/>
    <w:rsid w:val="009A757C"/>
    <w:rsid w:val="009A79B8"/>
    <w:rsid w:val="009A7E83"/>
    <w:rsid w:val="009B1517"/>
    <w:rsid w:val="009B1C19"/>
    <w:rsid w:val="009B3187"/>
    <w:rsid w:val="009B5995"/>
    <w:rsid w:val="009B76C0"/>
    <w:rsid w:val="009C12C1"/>
    <w:rsid w:val="009C3F23"/>
    <w:rsid w:val="009C518F"/>
    <w:rsid w:val="009C5230"/>
    <w:rsid w:val="009E2EF3"/>
    <w:rsid w:val="009E3A40"/>
    <w:rsid w:val="009E4F85"/>
    <w:rsid w:val="009E6411"/>
    <w:rsid w:val="009F3B91"/>
    <w:rsid w:val="009F4D2D"/>
    <w:rsid w:val="009F708D"/>
    <w:rsid w:val="00A135FA"/>
    <w:rsid w:val="00A13656"/>
    <w:rsid w:val="00A179E9"/>
    <w:rsid w:val="00A213E3"/>
    <w:rsid w:val="00A3035F"/>
    <w:rsid w:val="00A339B4"/>
    <w:rsid w:val="00A339E9"/>
    <w:rsid w:val="00A3549E"/>
    <w:rsid w:val="00A3785D"/>
    <w:rsid w:val="00A37DB3"/>
    <w:rsid w:val="00A52800"/>
    <w:rsid w:val="00A55D84"/>
    <w:rsid w:val="00A56E8D"/>
    <w:rsid w:val="00A60EE4"/>
    <w:rsid w:val="00A67D74"/>
    <w:rsid w:val="00A70CCF"/>
    <w:rsid w:val="00A71F89"/>
    <w:rsid w:val="00A75A03"/>
    <w:rsid w:val="00A75F1C"/>
    <w:rsid w:val="00A9105A"/>
    <w:rsid w:val="00A95070"/>
    <w:rsid w:val="00A97674"/>
    <w:rsid w:val="00A97D3F"/>
    <w:rsid w:val="00AA1C22"/>
    <w:rsid w:val="00AA328A"/>
    <w:rsid w:val="00AA3A8A"/>
    <w:rsid w:val="00AA530A"/>
    <w:rsid w:val="00AB1516"/>
    <w:rsid w:val="00AB20D6"/>
    <w:rsid w:val="00AB2F08"/>
    <w:rsid w:val="00AC4020"/>
    <w:rsid w:val="00AC4E0F"/>
    <w:rsid w:val="00AC4F73"/>
    <w:rsid w:val="00AC7AA6"/>
    <w:rsid w:val="00AD139B"/>
    <w:rsid w:val="00AD1792"/>
    <w:rsid w:val="00AD3021"/>
    <w:rsid w:val="00AD5C71"/>
    <w:rsid w:val="00AE0027"/>
    <w:rsid w:val="00AE1783"/>
    <w:rsid w:val="00AE1CE0"/>
    <w:rsid w:val="00AE2468"/>
    <w:rsid w:val="00AE5B93"/>
    <w:rsid w:val="00AE5E75"/>
    <w:rsid w:val="00AF0CED"/>
    <w:rsid w:val="00AF349B"/>
    <w:rsid w:val="00AF430D"/>
    <w:rsid w:val="00B000FD"/>
    <w:rsid w:val="00B00474"/>
    <w:rsid w:val="00B03BF2"/>
    <w:rsid w:val="00B04059"/>
    <w:rsid w:val="00B0605C"/>
    <w:rsid w:val="00B07E1D"/>
    <w:rsid w:val="00B114B6"/>
    <w:rsid w:val="00B1569B"/>
    <w:rsid w:val="00B15C05"/>
    <w:rsid w:val="00B15DDD"/>
    <w:rsid w:val="00B165AB"/>
    <w:rsid w:val="00B2020E"/>
    <w:rsid w:val="00B214F8"/>
    <w:rsid w:val="00B23426"/>
    <w:rsid w:val="00B352A7"/>
    <w:rsid w:val="00B37209"/>
    <w:rsid w:val="00B4201E"/>
    <w:rsid w:val="00B43187"/>
    <w:rsid w:val="00B438DD"/>
    <w:rsid w:val="00B46BDA"/>
    <w:rsid w:val="00B52728"/>
    <w:rsid w:val="00B55E8C"/>
    <w:rsid w:val="00B56E7E"/>
    <w:rsid w:val="00B60BED"/>
    <w:rsid w:val="00B625C8"/>
    <w:rsid w:val="00B77C46"/>
    <w:rsid w:val="00B8096F"/>
    <w:rsid w:val="00B84FBD"/>
    <w:rsid w:val="00B90952"/>
    <w:rsid w:val="00B91913"/>
    <w:rsid w:val="00B91E61"/>
    <w:rsid w:val="00BA1CA1"/>
    <w:rsid w:val="00BA5CCD"/>
    <w:rsid w:val="00BA6306"/>
    <w:rsid w:val="00BB0672"/>
    <w:rsid w:val="00BB4B5C"/>
    <w:rsid w:val="00BB5389"/>
    <w:rsid w:val="00BB6BB9"/>
    <w:rsid w:val="00BB785B"/>
    <w:rsid w:val="00BC3A51"/>
    <w:rsid w:val="00BC599E"/>
    <w:rsid w:val="00BC7113"/>
    <w:rsid w:val="00BD343B"/>
    <w:rsid w:val="00BD38C0"/>
    <w:rsid w:val="00BD4830"/>
    <w:rsid w:val="00BD51C1"/>
    <w:rsid w:val="00BD7AEA"/>
    <w:rsid w:val="00BE04A2"/>
    <w:rsid w:val="00BE29A2"/>
    <w:rsid w:val="00C00CB9"/>
    <w:rsid w:val="00C01370"/>
    <w:rsid w:val="00C11A35"/>
    <w:rsid w:val="00C14E82"/>
    <w:rsid w:val="00C1533A"/>
    <w:rsid w:val="00C27EF7"/>
    <w:rsid w:val="00C31092"/>
    <w:rsid w:val="00C31513"/>
    <w:rsid w:val="00C36753"/>
    <w:rsid w:val="00C42457"/>
    <w:rsid w:val="00C47445"/>
    <w:rsid w:val="00C558D9"/>
    <w:rsid w:val="00C56C1D"/>
    <w:rsid w:val="00C602E2"/>
    <w:rsid w:val="00C615A3"/>
    <w:rsid w:val="00C61C99"/>
    <w:rsid w:val="00C62B4D"/>
    <w:rsid w:val="00C64EB0"/>
    <w:rsid w:val="00C70FD9"/>
    <w:rsid w:val="00C74F56"/>
    <w:rsid w:val="00C811ED"/>
    <w:rsid w:val="00C858BC"/>
    <w:rsid w:val="00C9039F"/>
    <w:rsid w:val="00C9042C"/>
    <w:rsid w:val="00C9322E"/>
    <w:rsid w:val="00C96494"/>
    <w:rsid w:val="00CA0472"/>
    <w:rsid w:val="00CA0902"/>
    <w:rsid w:val="00CA1763"/>
    <w:rsid w:val="00CA1BB9"/>
    <w:rsid w:val="00CA2B3E"/>
    <w:rsid w:val="00CA41C5"/>
    <w:rsid w:val="00CB2571"/>
    <w:rsid w:val="00CB266C"/>
    <w:rsid w:val="00CB4186"/>
    <w:rsid w:val="00CC1559"/>
    <w:rsid w:val="00CC15B4"/>
    <w:rsid w:val="00CD0BC8"/>
    <w:rsid w:val="00CD4C35"/>
    <w:rsid w:val="00CD5436"/>
    <w:rsid w:val="00CE36F7"/>
    <w:rsid w:val="00CE6B44"/>
    <w:rsid w:val="00CF39F5"/>
    <w:rsid w:val="00CF7023"/>
    <w:rsid w:val="00D01165"/>
    <w:rsid w:val="00D05E1E"/>
    <w:rsid w:val="00D06D6A"/>
    <w:rsid w:val="00D151F0"/>
    <w:rsid w:val="00D2120C"/>
    <w:rsid w:val="00D278DE"/>
    <w:rsid w:val="00D27D75"/>
    <w:rsid w:val="00D3078D"/>
    <w:rsid w:val="00D3509B"/>
    <w:rsid w:val="00D35A83"/>
    <w:rsid w:val="00D41B71"/>
    <w:rsid w:val="00D43DD8"/>
    <w:rsid w:val="00D5224E"/>
    <w:rsid w:val="00D5368A"/>
    <w:rsid w:val="00D538CE"/>
    <w:rsid w:val="00D61583"/>
    <w:rsid w:val="00D71964"/>
    <w:rsid w:val="00D71E6D"/>
    <w:rsid w:val="00D810CA"/>
    <w:rsid w:val="00D8353D"/>
    <w:rsid w:val="00DA7787"/>
    <w:rsid w:val="00DB22AB"/>
    <w:rsid w:val="00DB4CF9"/>
    <w:rsid w:val="00DC0226"/>
    <w:rsid w:val="00DC4195"/>
    <w:rsid w:val="00DD6F7A"/>
    <w:rsid w:val="00DE2C4B"/>
    <w:rsid w:val="00DE386B"/>
    <w:rsid w:val="00DE6F7D"/>
    <w:rsid w:val="00DF0594"/>
    <w:rsid w:val="00DF152A"/>
    <w:rsid w:val="00DF4E37"/>
    <w:rsid w:val="00DF75F6"/>
    <w:rsid w:val="00E033BA"/>
    <w:rsid w:val="00E034F7"/>
    <w:rsid w:val="00E04432"/>
    <w:rsid w:val="00E06196"/>
    <w:rsid w:val="00E068B0"/>
    <w:rsid w:val="00E27C88"/>
    <w:rsid w:val="00E32860"/>
    <w:rsid w:val="00E35A27"/>
    <w:rsid w:val="00E41B8E"/>
    <w:rsid w:val="00E43BAC"/>
    <w:rsid w:val="00E458EE"/>
    <w:rsid w:val="00E45C0E"/>
    <w:rsid w:val="00E45EF1"/>
    <w:rsid w:val="00E600D5"/>
    <w:rsid w:val="00E62770"/>
    <w:rsid w:val="00E709F1"/>
    <w:rsid w:val="00E76E4E"/>
    <w:rsid w:val="00E813F0"/>
    <w:rsid w:val="00E859FE"/>
    <w:rsid w:val="00E934A6"/>
    <w:rsid w:val="00E946D7"/>
    <w:rsid w:val="00E94E02"/>
    <w:rsid w:val="00E976DC"/>
    <w:rsid w:val="00EB01D9"/>
    <w:rsid w:val="00EB11C2"/>
    <w:rsid w:val="00EB3AF4"/>
    <w:rsid w:val="00EB3E4B"/>
    <w:rsid w:val="00EC0AB7"/>
    <w:rsid w:val="00EC21A0"/>
    <w:rsid w:val="00EC2D67"/>
    <w:rsid w:val="00EC418C"/>
    <w:rsid w:val="00EC4E50"/>
    <w:rsid w:val="00EC78C7"/>
    <w:rsid w:val="00EC7E5A"/>
    <w:rsid w:val="00ED1156"/>
    <w:rsid w:val="00ED1461"/>
    <w:rsid w:val="00ED2E6B"/>
    <w:rsid w:val="00EE3219"/>
    <w:rsid w:val="00EE34CD"/>
    <w:rsid w:val="00EF212F"/>
    <w:rsid w:val="00EF2D89"/>
    <w:rsid w:val="00EF4784"/>
    <w:rsid w:val="00EF6E9E"/>
    <w:rsid w:val="00EF7204"/>
    <w:rsid w:val="00F00A03"/>
    <w:rsid w:val="00F0470A"/>
    <w:rsid w:val="00F05340"/>
    <w:rsid w:val="00F07A0B"/>
    <w:rsid w:val="00F11323"/>
    <w:rsid w:val="00F17776"/>
    <w:rsid w:val="00F221C6"/>
    <w:rsid w:val="00F26C80"/>
    <w:rsid w:val="00F272B6"/>
    <w:rsid w:val="00F31166"/>
    <w:rsid w:val="00F3542D"/>
    <w:rsid w:val="00F3579A"/>
    <w:rsid w:val="00F470B0"/>
    <w:rsid w:val="00F52B1F"/>
    <w:rsid w:val="00F52BA7"/>
    <w:rsid w:val="00F5536A"/>
    <w:rsid w:val="00F66D10"/>
    <w:rsid w:val="00F7004A"/>
    <w:rsid w:val="00F702F1"/>
    <w:rsid w:val="00F70FAC"/>
    <w:rsid w:val="00F76800"/>
    <w:rsid w:val="00F76B9D"/>
    <w:rsid w:val="00F77002"/>
    <w:rsid w:val="00F77AD1"/>
    <w:rsid w:val="00F8144A"/>
    <w:rsid w:val="00F85282"/>
    <w:rsid w:val="00F9044B"/>
    <w:rsid w:val="00F957A8"/>
    <w:rsid w:val="00F96D87"/>
    <w:rsid w:val="00FA7410"/>
    <w:rsid w:val="00FB199E"/>
    <w:rsid w:val="00FB228B"/>
    <w:rsid w:val="00FB438F"/>
    <w:rsid w:val="00FB6DAB"/>
    <w:rsid w:val="00FC2EB3"/>
    <w:rsid w:val="00FC5941"/>
    <w:rsid w:val="00FC63D2"/>
    <w:rsid w:val="00FC6DF0"/>
    <w:rsid w:val="00FD06ED"/>
    <w:rsid w:val="00FD08EB"/>
    <w:rsid w:val="00FE55A5"/>
    <w:rsid w:val="00FE5BEA"/>
    <w:rsid w:val="00FF1DC4"/>
    <w:rsid w:val="00FF2AEF"/>
    <w:rsid w:val="00FF32AD"/>
    <w:rsid w:val="00FF5BA1"/>
    <w:rsid w:val="00FF64F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068B7D"/>
  <w15:docId w15:val="{44E45A2D-CB44-4E34-9879-E03216F5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6AE"/>
  </w:style>
  <w:style w:type="paragraph" w:styleId="Ttulo9">
    <w:name w:val="heading 9"/>
    <w:basedOn w:val="Normal"/>
    <w:next w:val="Normal"/>
    <w:link w:val="Ttulo9Car"/>
    <w:qFormat/>
    <w:rsid w:val="00061151"/>
    <w:pPr>
      <w:keepNext/>
      <w:tabs>
        <w:tab w:val="left" w:pos="-720"/>
        <w:tab w:val="left" w:pos="567"/>
      </w:tabs>
      <w:suppressAutoHyphens/>
      <w:overflowPunct w:val="0"/>
      <w:autoSpaceDE w:val="0"/>
      <w:autoSpaceDN w:val="0"/>
      <w:adjustRightInd w:val="0"/>
      <w:spacing w:before="90" w:after="54" w:line="240" w:lineRule="auto"/>
      <w:textAlignment w:val="baseline"/>
      <w:outlineLvl w:val="8"/>
    </w:pPr>
    <w:rPr>
      <w:rFonts w:ascii="Arial" w:eastAsia="Times New Roman" w:hAnsi="Arial" w:cs="Times New Roman"/>
      <w:b/>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13C"/>
  </w:style>
  <w:style w:type="table" w:styleId="Tablaconcuadrcula">
    <w:name w:val="Table Grid"/>
    <w:basedOn w:val="Tablanormal"/>
    <w:uiPriority w:val="39"/>
    <w:rsid w:val="0020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0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13C"/>
  </w:style>
  <w:style w:type="character" w:styleId="Refdecomentario">
    <w:name w:val="annotation reference"/>
    <w:basedOn w:val="Fuentedeprrafopredeter"/>
    <w:uiPriority w:val="99"/>
    <w:unhideWhenUsed/>
    <w:rsid w:val="00221199"/>
    <w:rPr>
      <w:sz w:val="16"/>
      <w:szCs w:val="16"/>
    </w:rPr>
  </w:style>
  <w:style w:type="paragraph" w:styleId="Textocomentario">
    <w:name w:val="annotation text"/>
    <w:basedOn w:val="Normal"/>
    <w:link w:val="TextocomentarioCar"/>
    <w:uiPriority w:val="99"/>
    <w:unhideWhenUsed/>
    <w:rsid w:val="00221199"/>
    <w:pPr>
      <w:spacing w:line="240" w:lineRule="auto"/>
    </w:pPr>
    <w:rPr>
      <w:sz w:val="20"/>
      <w:szCs w:val="20"/>
    </w:rPr>
  </w:style>
  <w:style w:type="character" w:customStyle="1" w:styleId="TextocomentarioCar">
    <w:name w:val="Texto comentario Car"/>
    <w:basedOn w:val="Fuentedeprrafopredeter"/>
    <w:link w:val="Textocomentario"/>
    <w:uiPriority w:val="99"/>
    <w:rsid w:val="00221199"/>
    <w:rPr>
      <w:sz w:val="20"/>
      <w:szCs w:val="20"/>
    </w:rPr>
  </w:style>
  <w:style w:type="paragraph" w:styleId="Asuntodelcomentario">
    <w:name w:val="annotation subject"/>
    <w:basedOn w:val="Textocomentario"/>
    <w:next w:val="Textocomentario"/>
    <w:link w:val="AsuntodelcomentarioCar"/>
    <w:uiPriority w:val="99"/>
    <w:semiHidden/>
    <w:unhideWhenUsed/>
    <w:rsid w:val="00221199"/>
    <w:rPr>
      <w:b/>
      <w:bCs/>
    </w:rPr>
  </w:style>
  <w:style w:type="character" w:customStyle="1" w:styleId="AsuntodelcomentarioCar">
    <w:name w:val="Asunto del comentario Car"/>
    <w:basedOn w:val="TextocomentarioCar"/>
    <w:link w:val="Asuntodelcomentario"/>
    <w:uiPriority w:val="99"/>
    <w:semiHidden/>
    <w:rsid w:val="00221199"/>
    <w:rPr>
      <w:b/>
      <w:bCs/>
      <w:sz w:val="20"/>
      <w:szCs w:val="20"/>
    </w:rPr>
  </w:style>
  <w:style w:type="paragraph" w:styleId="Textodeglobo">
    <w:name w:val="Balloon Text"/>
    <w:basedOn w:val="Normal"/>
    <w:link w:val="TextodegloboCar"/>
    <w:uiPriority w:val="99"/>
    <w:semiHidden/>
    <w:unhideWhenUsed/>
    <w:rsid w:val="002211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199"/>
    <w:rPr>
      <w:rFonts w:ascii="Segoe UI" w:hAnsi="Segoe UI" w:cs="Segoe UI"/>
      <w:sz w:val="18"/>
      <w:szCs w:val="18"/>
    </w:rPr>
  </w:style>
  <w:style w:type="paragraph" w:styleId="Prrafodelista">
    <w:name w:val="List Paragraph"/>
    <w:basedOn w:val="Normal"/>
    <w:uiPriority w:val="34"/>
    <w:qFormat/>
    <w:rsid w:val="003F6D62"/>
    <w:pPr>
      <w:ind w:left="720"/>
      <w:contextualSpacing/>
    </w:pPr>
  </w:style>
  <w:style w:type="character" w:customStyle="1" w:styleId="Ttulo9Car">
    <w:name w:val="Título 9 Car"/>
    <w:basedOn w:val="Fuentedeprrafopredeter"/>
    <w:link w:val="Ttulo9"/>
    <w:rsid w:val="00061151"/>
    <w:rPr>
      <w:rFonts w:ascii="Arial" w:eastAsia="Times New Roman" w:hAnsi="Arial" w:cs="Times New Roman"/>
      <w:b/>
      <w:spacing w:val="-2"/>
      <w:sz w:val="20"/>
      <w:szCs w:val="20"/>
      <w:lang w:eastAsia="es-ES"/>
    </w:rPr>
  </w:style>
  <w:style w:type="paragraph" w:customStyle="1" w:styleId="Default">
    <w:name w:val="Default"/>
    <w:rsid w:val="00F0534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65F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D5"/>
    <w:rPr>
      <w:sz w:val="20"/>
      <w:szCs w:val="20"/>
    </w:rPr>
  </w:style>
  <w:style w:type="character" w:styleId="Refdenotaalpie">
    <w:name w:val="footnote reference"/>
    <w:basedOn w:val="Fuentedeprrafopredeter"/>
    <w:uiPriority w:val="99"/>
    <w:semiHidden/>
    <w:unhideWhenUsed/>
    <w:rsid w:val="00965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5540">
      <w:bodyDiv w:val="1"/>
      <w:marLeft w:val="0"/>
      <w:marRight w:val="0"/>
      <w:marTop w:val="0"/>
      <w:marBottom w:val="0"/>
      <w:divBdr>
        <w:top w:val="none" w:sz="0" w:space="0" w:color="auto"/>
        <w:left w:val="none" w:sz="0" w:space="0" w:color="auto"/>
        <w:bottom w:val="none" w:sz="0" w:space="0" w:color="auto"/>
        <w:right w:val="none" w:sz="0" w:space="0" w:color="auto"/>
      </w:divBdr>
    </w:div>
    <w:div w:id="684942675">
      <w:bodyDiv w:val="1"/>
      <w:marLeft w:val="0"/>
      <w:marRight w:val="0"/>
      <w:marTop w:val="0"/>
      <w:marBottom w:val="0"/>
      <w:divBdr>
        <w:top w:val="none" w:sz="0" w:space="0" w:color="auto"/>
        <w:left w:val="none" w:sz="0" w:space="0" w:color="auto"/>
        <w:bottom w:val="none" w:sz="0" w:space="0" w:color="auto"/>
        <w:right w:val="none" w:sz="0" w:space="0" w:color="auto"/>
      </w:divBdr>
    </w:div>
    <w:div w:id="1015839357">
      <w:bodyDiv w:val="1"/>
      <w:marLeft w:val="0"/>
      <w:marRight w:val="0"/>
      <w:marTop w:val="0"/>
      <w:marBottom w:val="0"/>
      <w:divBdr>
        <w:top w:val="none" w:sz="0" w:space="0" w:color="auto"/>
        <w:left w:val="none" w:sz="0" w:space="0" w:color="auto"/>
        <w:bottom w:val="none" w:sz="0" w:space="0" w:color="auto"/>
        <w:right w:val="none" w:sz="0" w:space="0" w:color="auto"/>
      </w:divBdr>
    </w:div>
    <w:div w:id="1064177897">
      <w:bodyDiv w:val="1"/>
      <w:marLeft w:val="0"/>
      <w:marRight w:val="0"/>
      <w:marTop w:val="0"/>
      <w:marBottom w:val="0"/>
      <w:divBdr>
        <w:top w:val="none" w:sz="0" w:space="0" w:color="auto"/>
        <w:left w:val="none" w:sz="0" w:space="0" w:color="auto"/>
        <w:bottom w:val="none" w:sz="0" w:space="0" w:color="auto"/>
        <w:right w:val="none" w:sz="0" w:space="0" w:color="auto"/>
      </w:divBdr>
    </w:div>
    <w:div w:id="116012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3D281-5187-453F-B6E9-121590C8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2578</Words>
  <Characters>14180</Characters>
  <Application>Microsoft Office Word</Application>
  <DocSecurity>4</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Alcaíno Vargas</dc:creator>
  <cp:lastModifiedBy>Vanessa Toledo Oliva</cp:lastModifiedBy>
  <cp:revision>2</cp:revision>
  <cp:lastPrinted>2021-05-13T17:12:00Z</cp:lastPrinted>
  <dcterms:created xsi:type="dcterms:W3CDTF">2023-11-20T12:17:00Z</dcterms:created>
  <dcterms:modified xsi:type="dcterms:W3CDTF">2023-11-20T12:17:00Z</dcterms:modified>
</cp:coreProperties>
</file>